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FC720" w14:textId="77777777" w:rsidR="002443BC" w:rsidRPr="002443BC" w:rsidRDefault="002443BC" w:rsidP="002443BC">
      <w:pPr>
        <w:pStyle w:val="Title"/>
        <w:jc w:val="left"/>
        <w:rPr>
          <w:rFonts w:ascii="Times New Roman" w:hAnsi="Times New Roman" w:cs="Times New Roman"/>
        </w:rPr>
      </w:pPr>
      <w:r w:rsidRPr="002443BC">
        <w:rPr>
          <w:rFonts w:ascii="Times New Roman" w:hAnsi="Times New Roman" w:cs="Times New Roman"/>
        </w:rPr>
        <w:t xml:space="preserve">Submission on the Proposed Scheduling of </w:t>
      </w:r>
      <w:proofErr w:type="spellStart"/>
      <w:r w:rsidRPr="002443BC">
        <w:rPr>
          <w:rFonts w:ascii="Times New Roman" w:hAnsi="Times New Roman" w:cs="Times New Roman"/>
        </w:rPr>
        <w:t>Homosalate</w:t>
      </w:r>
      <w:proofErr w:type="spellEnd"/>
      <w:r w:rsidRPr="002443BC">
        <w:rPr>
          <w:rFonts w:ascii="Times New Roman" w:hAnsi="Times New Roman" w:cs="Times New Roman"/>
        </w:rPr>
        <w:t>, Oxybenzone, and Benzophenone: Scientific Rationale and Industry Capability to Support Reform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256793850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noProof/>
          <w:szCs w:val="24"/>
        </w:rPr>
      </w:sdtEndPr>
      <w:sdtContent>
        <w:p w14:paraId="19E4CABF" w14:textId="53B4DEAF" w:rsidR="000514D1" w:rsidRDefault="000514D1" w:rsidP="00C44C9C">
          <w:pPr>
            <w:pStyle w:val="TOCHeading"/>
          </w:pPr>
          <w:r>
            <w:t>Contents</w:t>
          </w:r>
        </w:p>
        <w:p w14:paraId="142737C1" w14:textId="20AEC5E6" w:rsidR="00E21ED2" w:rsidRDefault="000514D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089499" w:history="1">
            <w:r w:rsidR="00E21ED2" w:rsidRPr="00821FBD">
              <w:rPr>
                <w:rStyle w:val="Hyperlink"/>
                <w:rFonts w:eastAsiaTheme="majorEastAsia"/>
                <w:noProof/>
              </w:rPr>
              <w:t>Cover Letter</w:t>
            </w:r>
            <w:r w:rsidR="00E21ED2">
              <w:rPr>
                <w:noProof/>
                <w:webHidden/>
              </w:rPr>
              <w:tab/>
            </w:r>
            <w:r w:rsidR="00E21ED2">
              <w:rPr>
                <w:noProof/>
                <w:webHidden/>
              </w:rPr>
              <w:fldChar w:fldCharType="begin"/>
            </w:r>
            <w:r w:rsidR="00E21ED2">
              <w:rPr>
                <w:noProof/>
                <w:webHidden/>
              </w:rPr>
              <w:instrText xml:space="preserve"> PAGEREF _Toc204089499 \h </w:instrText>
            </w:r>
            <w:r w:rsidR="00E21ED2">
              <w:rPr>
                <w:noProof/>
                <w:webHidden/>
              </w:rPr>
            </w:r>
            <w:r w:rsidR="00E21ED2">
              <w:rPr>
                <w:noProof/>
                <w:webHidden/>
              </w:rPr>
              <w:fldChar w:fldCharType="separate"/>
            </w:r>
            <w:r w:rsidR="00E21ED2">
              <w:rPr>
                <w:noProof/>
                <w:webHidden/>
              </w:rPr>
              <w:t>2</w:t>
            </w:r>
            <w:r w:rsidR="00E21ED2">
              <w:rPr>
                <w:noProof/>
                <w:webHidden/>
              </w:rPr>
              <w:fldChar w:fldCharType="end"/>
            </w:r>
          </w:hyperlink>
        </w:p>
        <w:p w14:paraId="3F929485" w14:textId="4D60583B" w:rsidR="00E21ED2" w:rsidRDefault="002B12D4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204089500" w:history="1">
            <w:r w:rsidR="00E21ED2" w:rsidRPr="00821FBD">
              <w:rPr>
                <w:rStyle w:val="Hyperlink"/>
                <w:rFonts w:eastAsiaTheme="majorEastAsia"/>
                <w:noProof/>
              </w:rPr>
              <w:t>Executive Summary</w:t>
            </w:r>
            <w:r w:rsidR="00E21ED2">
              <w:rPr>
                <w:noProof/>
                <w:webHidden/>
              </w:rPr>
              <w:tab/>
            </w:r>
            <w:r w:rsidR="00E21ED2">
              <w:rPr>
                <w:noProof/>
                <w:webHidden/>
              </w:rPr>
              <w:fldChar w:fldCharType="begin"/>
            </w:r>
            <w:r w:rsidR="00E21ED2">
              <w:rPr>
                <w:noProof/>
                <w:webHidden/>
              </w:rPr>
              <w:instrText xml:space="preserve"> PAGEREF _Toc204089500 \h </w:instrText>
            </w:r>
            <w:r w:rsidR="00E21ED2">
              <w:rPr>
                <w:noProof/>
                <w:webHidden/>
              </w:rPr>
            </w:r>
            <w:r w:rsidR="00E21ED2">
              <w:rPr>
                <w:noProof/>
                <w:webHidden/>
              </w:rPr>
              <w:fldChar w:fldCharType="separate"/>
            </w:r>
            <w:r w:rsidR="00E21ED2">
              <w:rPr>
                <w:noProof/>
                <w:webHidden/>
              </w:rPr>
              <w:t>3</w:t>
            </w:r>
            <w:r w:rsidR="00E21ED2">
              <w:rPr>
                <w:noProof/>
                <w:webHidden/>
              </w:rPr>
              <w:fldChar w:fldCharType="end"/>
            </w:r>
          </w:hyperlink>
        </w:p>
        <w:p w14:paraId="75588F00" w14:textId="48F4B652" w:rsidR="00E21ED2" w:rsidRDefault="002B12D4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204089501" w:history="1">
            <w:r w:rsidR="00E21ED2" w:rsidRPr="00821FBD">
              <w:rPr>
                <w:rStyle w:val="Hyperlink"/>
                <w:rFonts w:eastAsiaTheme="majorEastAsia"/>
                <w:noProof/>
              </w:rPr>
              <w:t>Section 1: Homosalate – Support for Restriction (≤ 0.28%)</w:t>
            </w:r>
            <w:r w:rsidR="00E21ED2">
              <w:rPr>
                <w:noProof/>
                <w:webHidden/>
              </w:rPr>
              <w:tab/>
            </w:r>
            <w:r w:rsidR="00E21ED2">
              <w:rPr>
                <w:noProof/>
                <w:webHidden/>
              </w:rPr>
              <w:fldChar w:fldCharType="begin"/>
            </w:r>
            <w:r w:rsidR="00E21ED2">
              <w:rPr>
                <w:noProof/>
                <w:webHidden/>
              </w:rPr>
              <w:instrText xml:space="preserve"> PAGEREF _Toc204089501 \h </w:instrText>
            </w:r>
            <w:r w:rsidR="00E21ED2">
              <w:rPr>
                <w:noProof/>
                <w:webHidden/>
              </w:rPr>
            </w:r>
            <w:r w:rsidR="00E21ED2">
              <w:rPr>
                <w:noProof/>
                <w:webHidden/>
              </w:rPr>
              <w:fldChar w:fldCharType="separate"/>
            </w:r>
            <w:r w:rsidR="00E21ED2">
              <w:rPr>
                <w:noProof/>
                <w:webHidden/>
              </w:rPr>
              <w:t>4</w:t>
            </w:r>
            <w:r w:rsidR="00E21ED2">
              <w:rPr>
                <w:noProof/>
                <w:webHidden/>
              </w:rPr>
              <w:fldChar w:fldCharType="end"/>
            </w:r>
          </w:hyperlink>
        </w:p>
        <w:p w14:paraId="6172E749" w14:textId="1BF334A4" w:rsidR="00E21ED2" w:rsidRDefault="002B12D4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204089502" w:history="1">
            <w:r w:rsidR="00E21ED2" w:rsidRPr="00821FBD">
              <w:rPr>
                <w:rStyle w:val="Hyperlink"/>
                <w:rFonts w:eastAsiaTheme="majorEastAsia"/>
                <w:noProof/>
              </w:rPr>
              <w:t>Section 2: Oxybenzone – Support for Restriction (≤ 1.0%)</w:t>
            </w:r>
            <w:r w:rsidR="00E21ED2">
              <w:rPr>
                <w:noProof/>
                <w:webHidden/>
              </w:rPr>
              <w:tab/>
            </w:r>
            <w:r w:rsidR="00E21ED2">
              <w:rPr>
                <w:noProof/>
                <w:webHidden/>
              </w:rPr>
              <w:fldChar w:fldCharType="begin"/>
            </w:r>
            <w:r w:rsidR="00E21ED2">
              <w:rPr>
                <w:noProof/>
                <w:webHidden/>
              </w:rPr>
              <w:instrText xml:space="preserve"> PAGEREF _Toc204089502 \h </w:instrText>
            </w:r>
            <w:r w:rsidR="00E21ED2">
              <w:rPr>
                <w:noProof/>
                <w:webHidden/>
              </w:rPr>
            </w:r>
            <w:r w:rsidR="00E21ED2">
              <w:rPr>
                <w:noProof/>
                <w:webHidden/>
              </w:rPr>
              <w:fldChar w:fldCharType="separate"/>
            </w:r>
            <w:r w:rsidR="00E21ED2">
              <w:rPr>
                <w:noProof/>
                <w:webHidden/>
              </w:rPr>
              <w:t>5</w:t>
            </w:r>
            <w:r w:rsidR="00E21ED2">
              <w:rPr>
                <w:noProof/>
                <w:webHidden/>
              </w:rPr>
              <w:fldChar w:fldCharType="end"/>
            </w:r>
          </w:hyperlink>
        </w:p>
        <w:p w14:paraId="101FD821" w14:textId="36AF48A1" w:rsidR="00E21ED2" w:rsidRDefault="002B12D4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204089503" w:history="1">
            <w:r w:rsidR="00E21ED2" w:rsidRPr="00821FBD">
              <w:rPr>
                <w:rStyle w:val="Hyperlink"/>
                <w:rFonts w:eastAsiaTheme="majorEastAsia"/>
                <w:noProof/>
              </w:rPr>
              <w:t>Section 3: Benzophenone – Recommend 0% Limit (No Exemption Threshold)</w:t>
            </w:r>
            <w:r w:rsidR="00E21ED2">
              <w:rPr>
                <w:noProof/>
                <w:webHidden/>
              </w:rPr>
              <w:tab/>
            </w:r>
            <w:r w:rsidR="00E21ED2">
              <w:rPr>
                <w:noProof/>
                <w:webHidden/>
              </w:rPr>
              <w:fldChar w:fldCharType="begin"/>
            </w:r>
            <w:r w:rsidR="00E21ED2">
              <w:rPr>
                <w:noProof/>
                <w:webHidden/>
              </w:rPr>
              <w:instrText xml:space="preserve"> PAGEREF _Toc204089503 \h </w:instrText>
            </w:r>
            <w:r w:rsidR="00E21ED2">
              <w:rPr>
                <w:noProof/>
                <w:webHidden/>
              </w:rPr>
            </w:r>
            <w:r w:rsidR="00E21ED2">
              <w:rPr>
                <w:noProof/>
                <w:webHidden/>
              </w:rPr>
              <w:fldChar w:fldCharType="separate"/>
            </w:r>
            <w:r w:rsidR="00E21ED2">
              <w:rPr>
                <w:noProof/>
                <w:webHidden/>
              </w:rPr>
              <w:t>7</w:t>
            </w:r>
            <w:r w:rsidR="00E21ED2">
              <w:rPr>
                <w:noProof/>
                <w:webHidden/>
              </w:rPr>
              <w:fldChar w:fldCharType="end"/>
            </w:r>
          </w:hyperlink>
        </w:p>
        <w:p w14:paraId="30B32016" w14:textId="3A9574FE" w:rsidR="00E21ED2" w:rsidRDefault="002B12D4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204089504" w:history="1">
            <w:r w:rsidR="00E21ED2" w:rsidRPr="00821FBD">
              <w:rPr>
                <w:rStyle w:val="Hyperlink"/>
                <w:rFonts w:eastAsiaTheme="majorEastAsia"/>
                <w:i/>
                <w:noProof/>
              </w:rPr>
              <w:t>Closing Statement</w:t>
            </w:r>
            <w:r w:rsidR="00E21ED2">
              <w:rPr>
                <w:noProof/>
                <w:webHidden/>
              </w:rPr>
              <w:tab/>
            </w:r>
            <w:r w:rsidR="00E21ED2">
              <w:rPr>
                <w:noProof/>
                <w:webHidden/>
              </w:rPr>
              <w:fldChar w:fldCharType="begin"/>
            </w:r>
            <w:r w:rsidR="00E21ED2">
              <w:rPr>
                <w:noProof/>
                <w:webHidden/>
              </w:rPr>
              <w:instrText xml:space="preserve"> PAGEREF _Toc204089504 \h </w:instrText>
            </w:r>
            <w:r w:rsidR="00E21ED2">
              <w:rPr>
                <w:noProof/>
                <w:webHidden/>
              </w:rPr>
            </w:r>
            <w:r w:rsidR="00E21ED2">
              <w:rPr>
                <w:noProof/>
                <w:webHidden/>
              </w:rPr>
              <w:fldChar w:fldCharType="separate"/>
            </w:r>
            <w:r w:rsidR="00E21ED2">
              <w:rPr>
                <w:noProof/>
                <w:webHidden/>
              </w:rPr>
              <w:t>9</w:t>
            </w:r>
            <w:r w:rsidR="00E21ED2">
              <w:rPr>
                <w:noProof/>
                <w:webHidden/>
              </w:rPr>
              <w:fldChar w:fldCharType="end"/>
            </w:r>
          </w:hyperlink>
        </w:p>
        <w:p w14:paraId="7C5F5F1A" w14:textId="16AD5F21" w:rsidR="00F161AF" w:rsidRDefault="000514D1" w:rsidP="00D762E1">
          <w:pPr>
            <w:spacing w:line="240" w:lineRule="auto"/>
            <w:jc w:val="left"/>
            <w:rPr>
              <w:noProof/>
            </w:rPr>
          </w:pPr>
          <w:r>
            <w:rPr>
              <w:noProof/>
            </w:rPr>
            <w:fldChar w:fldCharType="end"/>
          </w:r>
        </w:p>
        <w:p w14:paraId="2D889938" w14:textId="56D31F29" w:rsidR="00F161AF" w:rsidRPr="00F161AF" w:rsidRDefault="002B12D4" w:rsidP="00D762E1"/>
      </w:sdtContent>
    </w:sdt>
    <w:p w14:paraId="645A2A32" w14:textId="77777777" w:rsidR="00D762E1" w:rsidRDefault="00D762E1" w:rsidP="00D762E1"/>
    <w:p w14:paraId="2AB22E7E" w14:textId="77777777" w:rsidR="00D762E1" w:rsidRDefault="00D762E1" w:rsidP="00D762E1"/>
    <w:p w14:paraId="4C38E226" w14:textId="3D48B980" w:rsidR="00D762E1" w:rsidRDefault="002443BC" w:rsidP="002443BC">
      <w:pPr>
        <w:spacing w:after="200" w:line="276" w:lineRule="auto"/>
        <w:jc w:val="left"/>
      </w:pPr>
      <w:r>
        <w:br w:type="page"/>
      </w:r>
    </w:p>
    <w:p w14:paraId="12D03F35" w14:textId="793CA8DD" w:rsidR="00D762E1" w:rsidRDefault="00D762E1" w:rsidP="00D762E1">
      <w:pPr>
        <w:pStyle w:val="Heading2"/>
      </w:pPr>
      <w:bookmarkStart w:id="0" w:name="_Toc204089499"/>
      <w:r>
        <w:lastRenderedPageBreak/>
        <w:t>Cover Letter</w:t>
      </w:r>
      <w:bookmarkEnd w:id="0"/>
    </w:p>
    <w:p w14:paraId="6A11F4B5" w14:textId="20630C01" w:rsidR="00BD3928" w:rsidRPr="00BD3928" w:rsidRDefault="00BD3928" w:rsidP="00D762E1">
      <w:pPr>
        <w:jc w:val="left"/>
      </w:pPr>
      <w:r w:rsidRPr="00BD3928">
        <w:t>To: The Delegate, Scheduling Secretariat</w:t>
      </w:r>
      <w:r w:rsidRPr="00BD3928">
        <w:br/>
        <w:t>Therapeutic Goods Administration (TGA)</w:t>
      </w:r>
      <w:r w:rsidRPr="00BD3928">
        <w:br/>
        <w:t>Department of Health and Aged Care</w:t>
      </w:r>
      <w:r w:rsidRPr="00BD3928">
        <w:br/>
        <w:t>Canberra ACT 2601</w:t>
      </w:r>
    </w:p>
    <w:p w14:paraId="4DE5B68B" w14:textId="77777777" w:rsidR="00BD3928" w:rsidRPr="00BD3928" w:rsidRDefault="00BD3928" w:rsidP="00D762E1">
      <w:pPr>
        <w:jc w:val="left"/>
      </w:pPr>
      <w:r w:rsidRPr="00BD3928">
        <w:rPr>
          <w:b/>
          <w:bCs/>
        </w:rPr>
        <w:t>Subject:</w:t>
      </w:r>
      <w:r w:rsidRPr="00BD3928">
        <w:t xml:space="preserve"> Public Submission on Proposed Schedule 5 Entries — </w:t>
      </w:r>
      <w:proofErr w:type="spellStart"/>
      <w:r w:rsidRPr="00BD3928">
        <w:t>Homosalate</w:t>
      </w:r>
      <w:proofErr w:type="spellEnd"/>
      <w:r w:rsidRPr="00BD3928">
        <w:t>, Oxybenzone, and Benzophenone</w:t>
      </w:r>
    </w:p>
    <w:p w14:paraId="0098D6D4" w14:textId="77777777" w:rsidR="00BD3928" w:rsidRPr="00BD3928" w:rsidRDefault="00BD3928" w:rsidP="00D762E1">
      <w:pPr>
        <w:jc w:val="left"/>
      </w:pPr>
      <w:r w:rsidRPr="00BD3928">
        <w:rPr>
          <w:b/>
          <w:bCs/>
        </w:rPr>
        <w:t>Date:</w:t>
      </w:r>
      <w:r w:rsidRPr="00BD3928">
        <w:t xml:space="preserve"> </w:t>
      </w:r>
      <w:r w:rsidRPr="00BD3928">
        <w:rPr>
          <w:highlight w:val="yellow"/>
        </w:rPr>
        <w:t>[Insert Date Here]</w:t>
      </w:r>
    </w:p>
    <w:p w14:paraId="2AACE6DF" w14:textId="77777777" w:rsidR="00BD3928" w:rsidRDefault="00BD3928" w:rsidP="00D762E1"/>
    <w:p w14:paraId="7F36ECAE" w14:textId="77777777" w:rsidR="00371321" w:rsidRPr="00371321" w:rsidRDefault="00371321" w:rsidP="00371321">
      <w:pPr>
        <w:spacing w:before="100" w:beforeAutospacing="1" w:after="100" w:afterAutospacing="1" w:line="240" w:lineRule="auto"/>
        <w:jc w:val="left"/>
        <w:rPr>
          <w:sz w:val="24"/>
        </w:rPr>
      </w:pPr>
      <w:r w:rsidRPr="00371321">
        <w:rPr>
          <w:sz w:val="24"/>
        </w:rPr>
        <w:t>Dear Delegate,</w:t>
      </w:r>
    </w:p>
    <w:p w14:paraId="7922B988" w14:textId="77777777" w:rsidR="00371321" w:rsidRPr="00371321" w:rsidRDefault="00371321" w:rsidP="00371321">
      <w:pPr>
        <w:spacing w:before="100" w:beforeAutospacing="1" w:after="100" w:afterAutospacing="1" w:line="240" w:lineRule="auto"/>
        <w:rPr>
          <w:sz w:val="24"/>
        </w:rPr>
      </w:pPr>
      <w:r w:rsidRPr="00371321">
        <w:rPr>
          <w:sz w:val="24"/>
        </w:rPr>
        <w:t xml:space="preserve">Thank you for the opportunity to comment on the proposed amendments to the Poisons Standard for </w:t>
      </w:r>
      <w:proofErr w:type="spellStart"/>
      <w:r w:rsidRPr="00371321">
        <w:rPr>
          <w:sz w:val="24"/>
        </w:rPr>
        <w:t>homosalate</w:t>
      </w:r>
      <w:proofErr w:type="spellEnd"/>
      <w:r w:rsidRPr="00371321">
        <w:rPr>
          <w:sz w:val="24"/>
        </w:rPr>
        <w:t>, oxybenzone, and benzophenone, currently under consideration in the Joint ACMS–ACCS #41 consultation.</w:t>
      </w:r>
    </w:p>
    <w:p w14:paraId="44348D05" w14:textId="77777777" w:rsidR="00371321" w:rsidRPr="00371321" w:rsidRDefault="00371321" w:rsidP="00371321">
      <w:pPr>
        <w:spacing w:before="100" w:beforeAutospacing="1" w:after="100" w:afterAutospacing="1" w:line="240" w:lineRule="auto"/>
        <w:rPr>
          <w:sz w:val="24"/>
        </w:rPr>
      </w:pPr>
      <w:r w:rsidRPr="00371321">
        <w:rPr>
          <w:sz w:val="24"/>
        </w:rPr>
        <w:t xml:space="preserve">I submit this response in support of the TGA’s proposal to apply Schedule 5 restrictions to </w:t>
      </w:r>
      <w:proofErr w:type="spellStart"/>
      <w:r w:rsidRPr="00371321">
        <w:rPr>
          <w:sz w:val="24"/>
        </w:rPr>
        <w:t>homosalate</w:t>
      </w:r>
      <w:proofErr w:type="spellEnd"/>
      <w:r w:rsidRPr="00371321">
        <w:rPr>
          <w:sz w:val="24"/>
        </w:rPr>
        <w:t xml:space="preserve"> and oxybenzone based on updated exposure modelling and toxicological data. In particular, I support </w:t>
      </w:r>
      <w:r w:rsidRPr="00371321">
        <w:rPr>
          <w:b/>
          <w:bCs/>
          <w:sz w:val="24"/>
        </w:rPr>
        <w:t>Option 1</w:t>
      </w:r>
      <w:r w:rsidRPr="00371321">
        <w:rPr>
          <w:sz w:val="24"/>
        </w:rPr>
        <w:t xml:space="preserve"> for both substances, which limits their use to concentrations that are consistent with an acceptable Margin of Safety under the Australian Sunscreen Exposure Model (ASEM).</w:t>
      </w:r>
    </w:p>
    <w:p w14:paraId="2F12C0F9" w14:textId="77777777" w:rsidR="00371321" w:rsidRPr="00371321" w:rsidRDefault="00371321" w:rsidP="00371321">
      <w:pPr>
        <w:spacing w:before="100" w:beforeAutospacing="1" w:after="100" w:afterAutospacing="1" w:line="240" w:lineRule="auto"/>
        <w:rPr>
          <w:sz w:val="24"/>
        </w:rPr>
      </w:pPr>
      <w:r w:rsidRPr="00371321">
        <w:rPr>
          <w:sz w:val="24"/>
        </w:rPr>
        <w:t xml:space="preserve">However, I strongly oppose the proposed Schedule 5 exemption for </w:t>
      </w:r>
      <w:r w:rsidRPr="00371321">
        <w:rPr>
          <w:b/>
          <w:bCs/>
          <w:sz w:val="24"/>
        </w:rPr>
        <w:t>benzophenone at 383 ppm</w:t>
      </w:r>
      <w:r w:rsidRPr="00371321">
        <w:rPr>
          <w:sz w:val="24"/>
        </w:rPr>
        <w:t xml:space="preserve">. As a known genotoxic and photosensitising compound, benzophenone has demonstrated tumour formation at similar dose levels and should not be permitted in therapeutic sunscreens — even as an impurity or degradant. I recommend that the Delegate adopt a </w:t>
      </w:r>
      <w:r w:rsidRPr="00371321">
        <w:rPr>
          <w:b/>
          <w:bCs/>
          <w:sz w:val="24"/>
        </w:rPr>
        <w:t>0% exemption threshold</w:t>
      </w:r>
      <w:r w:rsidRPr="00371321">
        <w:rPr>
          <w:sz w:val="24"/>
        </w:rPr>
        <w:t xml:space="preserve"> for benzophenone in sunscreen products, consistent with international regulatory alignment and the precautionary principle.</w:t>
      </w:r>
    </w:p>
    <w:p w14:paraId="7D81E738" w14:textId="77777777" w:rsidR="00371321" w:rsidRPr="00371321" w:rsidRDefault="00371321" w:rsidP="00371321">
      <w:pPr>
        <w:spacing w:before="100" w:beforeAutospacing="1" w:after="100" w:afterAutospacing="1" w:line="240" w:lineRule="auto"/>
        <w:rPr>
          <w:sz w:val="24"/>
        </w:rPr>
      </w:pPr>
      <w:r w:rsidRPr="00371321">
        <w:rPr>
          <w:sz w:val="24"/>
        </w:rPr>
        <w:t>This submission is made in the interest of public health, environmental protection, and scientific integrity. I encourage the Delegate to prioritise long-term safety by supporting evidence-based restrictions and ensuring that safer alternatives are not only viable, but expected in Australia’s sun care sector.</w:t>
      </w:r>
    </w:p>
    <w:p w14:paraId="4C1CF8C7" w14:textId="4AAFF674" w:rsidR="00D762E1" w:rsidRPr="00371321" w:rsidRDefault="00371321" w:rsidP="00371321">
      <w:pPr>
        <w:spacing w:before="100" w:beforeAutospacing="1" w:after="100" w:afterAutospacing="1" w:line="240" w:lineRule="auto"/>
        <w:rPr>
          <w:sz w:val="24"/>
        </w:rPr>
      </w:pPr>
      <w:r w:rsidRPr="00371321">
        <w:rPr>
          <w:sz w:val="24"/>
        </w:rPr>
        <w:t>Thank you for considering this submission.</w:t>
      </w:r>
    </w:p>
    <w:p w14:paraId="40F10723" w14:textId="69BE7F0D" w:rsidR="00BD3928" w:rsidRPr="00BD3928" w:rsidRDefault="00BD3928" w:rsidP="00D762E1">
      <w:r w:rsidRPr="00BD3928">
        <w:t>Yours sincerely,</w:t>
      </w:r>
    </w:p>
    <w:p w14:paraId="203236B3" w14:textId="70B17411" w:rsidR="000A33A1" w:rsidRDefault="00371321" w:rsidP="00371321">
      <w:pPr>
        <w:jc w:val="left"/>
      </w:pPr>
      <w:r w:rsidRPr="00E9510C">
        <w:rPr>
          <w:highlight w:val="yellow"/>
        </w:rPr>
        <w:t>[Your Full Name]</w:t>
      </w:r>
      <w:r w:rsidRPr="00E9510C">
        <w:rPr>
          <w:highlight w:val="yellow"/>
        </w:rPr>
        <w:br/>
        <w:t>[Optional: Affiliation or Profession]</w:t>
      </w:r>
      <w:r w:rsidRPr="00E9510C">
        <w:rPr>
          <w:highlight w:val="yellow"/>
        </w:rPr>
        <w:br/>
        <w:t>[Optional: Email Address]</w:t>
      </w:r>
    </w:p>
    <w:p w14:paraId="1FA41064" w14:textId="77777777" w:rsidR="00D762E1" w:rsidRPr="00D804C3" w:rsidRDefault="00D762E1" w:rsidP="00D762E1"/>
    <w:p w14:paraId="2507F3D8" w14:textId="0CE99A0A" w:rsidR="001362A8" w:rsidRPr="00D804C3" w:rsidRDefault="001362A8" w:rsidP="00D762E1">
      <w:pPr>
        <w:pStyle w:val="Heading2"/>
      </w:pPr>
      <w:bookmarkStart w:id="1" w:name="_Toc204089500"/>
      <w:r w:rsidRPr="00D804C3">
        <w:lastRenderedPageBreak/>
        <w:t>Executive Summary</w:t>
      </w:r>
      <w:bookmarkEnd w:id="1"/>
    </w:p>
    <w:p w14:paraId="1BC8191A" w14:textId="08A770C0" w:rsidR="00FD5DF7" w:rsidRPr="00D762E1" w:rsidRDefault="00371321" w:rsidP="00FD5DF7">
      <w:r>
        <w:t xml:space="preserve">This submission </w:t>
      </w:r>
      <w:r w:rsidR="00FD5DF7" w:rsidRPr="00D762E1">
        <w:rPr>
          <w:b/>
          <w:bCs/>
        </w:rPr>
        <w:t>welcomes and supports</w:t>
      </w:r>
      <w:r w:rsidR="00FD5DF7" w:rsidRPr="00D762E1">
        <w:t xml:space="preserve"> the TGA’s proposed Schedule 5 restrictions on the systemic UV filters </w:t>
      </w:r>
      <w:proofErr w:type="spellStart"/>
      <w:r w:rsidR="00FD5DF7" w:rsidRPr="00D762E1">
        <w:rPr>
          <w:b/>
          <w:bCs/>
        </w:rPr>
        <w:t>Homosalate</w:t>
      </w:r>
      <w:proofErr w:type="spellEnd"/>
      <w:r w:rsidR="00FD5DF7" w:rsidRPr="00D762E1">
        <w:t xml:space="preserve"> and </w:t>
      </w:r>
      <w:r w:rsidR="00FD5DF7" w:rsidRPr="00D762E1">
        <w:rPr>
          <w:b/>
          <w:bCs/>
        </w:rPr>
        <w:t>Oxybenzone</w:t>
      </w:r>
      <w:r w:rsidR="00FD5DF7" w:rsidRPr="00D762E1">
        <w:t xml:space="preserve">, based on clear toxicological concerns and robust modelling via the updated </w:t>
      </w:r>
      <w:r w:rsidR="00FD5DF7" w:rsidRPr="00D762E1">
        <w:rPr>
          <w:b/>
          <w:bCs/>
        </w:rPr>
        <w:t>Australian Sunscreen Exposure Model (ASEM)</w:t>
      </w:r>
      <w:r w:rsidR="00FD5DF7" w:rsidRPr="00D762E1">
        <w:t>. These reforms are not only scientifically justified but long overdue, given the risks of endocrine disruption and systemic absorption at currently permitted levels.</w:t>
      </w:r>
    </w:p>
    <w:p w14:paraId="6677CBF7" w14:textId="77777777" w:rsidR="00FD5DF7" w:rsidRDefault="00FD5DF7" w:rsidP="00FD5DF7"/>
    <w:p w14:paraId="1CD8B48D" w14:textId="50ED22E4" w:rsidR="00FD5DF7" w:rsidRPr="00D762E1" w:rsidRDefault="00FD5DF7" w:rsidP="00FD5DF7">
      <w:r w:rsidRPr="00D762E1">
        <w:t xml:space="preserve">However, </w:t>
      </w:r>
      <w:r w:rsidR="00E9510C">
        <w:t xml:space="preserve">I </w:t>
      </w:r>
      <w:r w:rsidRPr="00D762E1">
        <w:t xml:space="preserve">strongly oppose the proposed exemption limit of </w:t>
      </w:r>
      <w:r w:rsidRPr="00D762E1">
        <w:rPr>
          <w:b/>
          <w:bCs/>
        </w:rPr>
        <w:t>383 ppm for Benzophenone</w:t>
      </w:r>
      <w:r w:rsidRPr="00D762E1">
        <w:t xml:space="preserve">. As a known </w:t>
      </w:r>
      <w:r w:rsidRPr="00D762E1">
        <w:rPr>
          <w:b/>
          <w:bCs/>
        </w:rPr>
        <w:t>non-threshold genotoxin and photosensitiser</w:t>
      </w:r>
      <w:r w:rsidRPr="00D762E1">
        <w:t xml:space="preserve">, benzophenone poses unacceptable risks to human health, particularly when used in therapeutic sunscreen products. </w:t>
      </w:r>
      <w:proofErr w:type="spellStart"/>
      <w:r w:rsidR="00E9510C">
        <w:t>I</w:t>
      </w:r>
      <w:r w:rsidRPr="00D762E1">
        <w:t>urge</w:t>
      </w:r>
      <w:proofErr w:type="spellEnd"/>
      <w:r w:rsidRPr="00D762E1">
        <w:t xml:space="preserve"> the Delegate to revise this proposal and adopt a </w:t>
      </w:r>
      <w:r w:rsidRPr="00D762E1">
        <w:rPr>
          <w:b/>
          <w:bCs/>
        </w:rPr>
        <w:t>0% exemption threshold</w:t>
      </w:r>
      <w:r w:rsidRPr="00D762E1">
        <w:t>, consistent with international chemical safety standards and cumulative exposure concerns.</w:t>
      </w:r>
    </w:p>
    <w:p w14:paraId="40933554" w14:textId="77777777" w:rsidR="00FD5DF7" w:rsidRDefault="00FD5DF7" w:rsidP="00FD5DF7"/>
    <w:p w14:paraId="6A71A284" w14:textId="77777777" w:rsidR="00FD5DF7" w:rsidRPr="00D762E1" w:rsidRDefault="00FD5DF7" w:rsidP="00FD5DF7">
      <w:r w:rsidRPr="00D762E1">
        <w:t>Our submission reflects the following positions:</w:t>
      </w:r>
    </w:p>
    <w:p w14:paraId="24749B57" w14:textId="73C5ADA1" w:rsidR="00FD5DF7" w:rsidRPr="00D762E1" w:rsidRDefault="00FD5DF7" w:rsidP="00FD5DF7">
      <w:r w:rsidRPr="00D762E1">
        <w:rPr>
          <w:b/>
          <w:bCs/>
        </w:rPr>
        <w:t>Support</w:t>
      </w:r>
      <w:r w:rsidRPr="00D762E1">
        <w:t xml:space="preserve"> Schedule 5 entries for:</w:t>
      </w:r>
    </w:p>
    <w:p w14:paraId="287815F9" w14:textId="77777777" w:rsidR="00FD5DF7" w:rsidRPr="00D762E1" w:rsidRDefault="00FD5DF7" w:rsidP="0013089E">
      <w:pPr>
        <w:pStyle w:val="ListParagraph"/>
        <w:numPr>
          <w:ilvl w:val="0"/>
          <w:numId w:val="27"/>
        </w:numPr>
      </w:pPr>
      <w:proofErr w:type="spellStart"/>
      <w:r w:rsidRPr="00E9510C">
        <w:rPr>
          <w:b/>
          <w:bCs/>
        </w:rPr>
        <w:t>Homosalate</w:t>
      </w:r>
      <w:proofErr w:type="spellEnd"/>
      <w:r w:rsidRPr="00D762E1">
        <w:t xml:space="preserve">: Exemption only at concentrations </w:t>
      </w:r>
      <w:r w:rsidRPr="00E9510C">
        <w:rPr>
          <w:b/>
          <w:bCs/>
        </w:rPr>
        <w:t>≤ 0.28%</w:t>
      </w:r>
      <w:r w:rsidRPr="00D762E1">
        <w:t xml:space="preserve"> (</w:t>
      </w:r>
      <w:r w:rsidRPr="00E9510C">
        <w:rPr>
          <w:i/>
          <w:iCs/>
        </w:rPr>
        <w:t>TGA Option 1</w:t>
      </w:r>
      <w:r w:rsidRPr="00D762E1">
        <w:t>)</w:t>
      </w:r>
    </w:p>
    <w:p w14:paraId="21EFC23B" w14:textId="77777777" w:rsidR="00FD5DF7" w:rsidRPr="00D762E1" w:rsidRDefault="00FD5DF7" w:rsidP="0013089E">
      <w:pPr>
        <w:pStyle w:val="ListParagraph"/>
        <w:numPr>
          <w:ilvl w:val="0"/>
          <w:numId w:val="27"/>
        </w:numPr>
      </w:pPr>
      <w:r w:rsidRPr="00E9510C">
        <w:rPr>
          <w:b/>
          <w:bCs/>
        </w:rPr>
        <w:t>Oxybenzone</w:t>
      </w:r>
      <w:r w:rsidRPr="00D762E1">
        <w:t xml:space="preserve">: Exemption only at concentrations </w:t>
      </w:r>
      <w:r w:rsidRPr="00E9510C">
        <w:rPr>
          <w:b/>
          <w:bCs/>
        </w:rPr>
        <w:t>≤ 1.0%</w:t>
      </w:r>
      <w:r w:rsidRPr="00D762E1">
        <w:t xml:space="preserve"> (</w:t>
      </w:r>
      <w:r w:rsidRPr="00E9510C">
        <w:rPr>
          <w:i/>
          <w:iCs/>
        </w:rPr>
        <w:t>TGA Option 1</w:t>
      </w:r>
      <w:r w:rsidRPr="00D762E1">
        <w:t>)</w:t>
      </w:r>
    </w:p>
    <w:p w14:paraId="05FB23EF" w14:textId="6423CF1D" w:rsidR="00FD5DF7" w:rsidRPr="00D762E1" w:rsidRDefault="00FD5DF7" w:rsidP="0013089E">
      <w:pPr>
        <w:pStyle w:val="ListParagraph"/>
        <w:numPr>
          <w:ilvl w:val="0"/>
          <w:numId w:val="27"/>
        </w:numPr>
      </w:pPr>
      <w:r w:rsidRPr="00E9510C">
        <w:rPr>
          <w:b/>
          <w:bCs/>
        </w:rPr>
        <w:t>Oppose</w:t>
      </w:r>
      <w:r w:rsidRPr="00D762E1">
        <w:t xml:space="preserve"> Schedule 5 exemption for:</w:t>
      </w:r>
    </w:p>
    <w:p w14:paraId="0E9E3AC7" w14:textId="77777777" w:rsidR="00FD5DF7" w:rsidRPr="00D762E1" w:rsidRDefault="00FD5DF7" w:rsidP="00E9510C">
      <w:pPr>
        <w:ind w:left="1440"/>
        <w:jc w:val="left"/>
      </w:pPr>
      <w:r w:rsidRPr="00D762E1">
        <w:rPr>
          <w:b/>
          <w:bCs/>
        </w:rPr>
        <w:t>Benzophenone</w:t>
      </w:r>
      <w:r w:rsidRPr="00D762E1">
        <w:t xml:space="preserve"> at 383 ppm</w:t>
      </w:r>
      <w:r w:rsidRPr="00D762E1">
        <w:br/>
      </w:r>
      <w:r w:rsidRPr="00D762E1">
        <w:rPr>
          <w:rFonts w:ascii="Cambria Math" w:hAnsi="Cambria Math" w:cs="Cambria Math"/>
        </w:rPr>
        <w:t>▸</w:t>
      </w:r>
      <w:r w:rsidRPr="00D762E1">
        <w:t xml:space="preserve"> Recommend a </w:t>
      </w:r>
      <w:r w:rsidRPr="00D762E1">
        <w:rPr>
          <w:b/>
          <w:bCs/>
        </w:rPr>
        <w:t>0% exemption threshold</w:t>
      </w:r>
      <w:r w:rsidRPr="00D762E1">
        <w:br/>
      </w:r>
      <w:r w:rsidRPr="00D762E1">
        <w:rPr>
          <w:rFonts w:ascii="Cambria Math" w:hAnsi="Cambria Math" w:cs="Cambria Math"/>
        </w:rPr>
        <w:t>▸</w:t>
      </w:r>
      <w:r w:rsidRPr="00D762E1">
        <w:t xml:space="preserve"> Based on compelling evidence of </w:t>
      </w:r>
      <w:r w:rsidRPr="00D762E1">
        <w:rPr>
          <w:b/>
          <w:bCs/>
        </w:rPr>
        <w:t>genotoxicity</w:t>
      </w:r>
      <w:r w:rsidRPr="00D762E1">
        <w:t xml:space="preserve">, </w:t>
      </w:r>
      <w:r w:rsidRPr="00D762E1">
        <w:rPr>
          <w:b/>
          <w:bCs/>
        </w:rPr>
        <w:t>photosensitised DNA damage</w:t>
      </w:r>
      <w:r w:rsidRPr="00D762E1">
        <w:t xml:space="preserve">, and alignment with </w:t>
      </w:r>
      <w:r w:rsidRPr="00D762E1">
        <w:rPr>
          <w:b/>
          <w:bCs/>
        </w:rPr>
        <w:t>California Prop 65</w:t>
      </w:r>
      <w:r w:rsidRPr="00D762E1">
        <w:t xml:space="preserve">, </w:t>
      </w:r>
      <w:r w:rsidRPr="00D762E1">
        <w:rPr>
          <w:b/>
          <w:bCs/>
        </w:rPr>
        <w:t>EU regulation</w:t>
      </w:r>
      <w:r w:rsidRPr="00D762E1">
        <w:t>, and other global precedents</w:t>
      </w:r>
    </w:p>
    <w:p w14:paraId="6741AB8C" w14:textId="77777777" w:rsidR="00FD5DF7" w:rsidRDefault="00FD5DF7" w:rsidP="00FD5DF7"/>
    <w:p w14:paraId="586C938C" w14:textId="4A98B1A4" w:rsidR="00371321" w:rsidRDefault="00371321" w:rsidP="00371321">
      <w:pPr>
        <w:pStyle w:val="NormalWeb"/>
      </w:pPr>
    </w:p>
    <w:p w14:paraId="5EE3B7A5" w14:textId="6CEF3395" w:rsidR="00371321" w:rsidRDefault="00371321" w:rsidP="00371321">
      <w:pPr>
        <w:pStyle w:val="NormalWeb"/>
      </w:pPr>
    </w:p>
    <w:p w14:paraId="5618E14F" w14:textId="138869A5" w:rsidR="00E9510C" w:rsidRDefault="00E9510C" w:rsidP="00371321">
      <w:pPr>
        <w:pStyle w:val="NormalWeb"/>
      </w:pPr>
    </w:p>
    <w:p w14:paraId="73499F87" w14:textId="77777777" w:rsidR="00E9510C" w:rsidRDefault="00E9510C" w:rsidP="00371321">
      <w:pPr>
        <w:pStyle w:val="NormalWeb"/>
      </w:pPr>
    </w:p>
    <w:p w14:paraId="098E79FA" w14:textId="77777777" w:rsidR="00371321" w:rsidRDefault="00371321" w:rsidP="00371321">
      <w:pPr>
        <w:pStyle w:val="NormalWeb"/>
      </w:pPr>
    </w:p>
    <w:p w14:paraId="267B9EBA" w14:textId="77777777" w:rsidR="00C44C9C" w:rsidRPr="002443BC" w:rsidRDefault="00C44C9C" w:rsidP="002443BC">
      <w:pPr>
        <w:pStyle w:val="Heading1"/>
      </w:pPr>
      <w:bookmarkStart w:id="2" w:name="_Toc204089501"/>
      <w:r w:rsidRPr="002443BC">
        <w:rPr>
          <w:rStyle w:val="Strong"/>
          <w:b/>
          <w:bCs/>
        </w:rPr>
        <w:lastRenderedPageBreak/>
        <w:t xml:space="preserve">Section 1: </w:t>
      </w:r>
      <w:proofErr w:type="spellStart"/>
      <w:r w:rsidRPr="002443BC">
        <w:rPr>
          <w:rStyle w:val="Strong"/>
          <w:b/>
          <w:bCs/>
        </w:rPr>
        <w:t>Homosalate</w:t>
      </w:r>
      <w:proofErr w:type="spellEnd"/>
      <w:r w:rsidRPr="002443BC">
        <w:rPr>
          <w:rStyle w:val="Strong"/>
          <w:b/>
          <w:bCs/>
        </w:rPr>
        <w:t xml:space="preserve"> – Support for Restriction (≤ 0.28%)</w:t>
      </w:r>
      <w:bookmarkEnd w:id="2"/>
    </w:p>
    <w:p w14:paraId="3650F43F" w14:textId="03918741" w:rsidR="006362AB" w:rsidRDefault="006362AB" w:rsidP="006362AB">
      <w:pPr>
        <w:pStyle w:val="NormalWeb"/>
        <w:spacing w:before="0" w:beforeAutospacing="0" w:after="0" w:afterAutospacing="0" w:line="360" w:lineRule="auto"/>
        <w:jc w:val="both"/>
      </w:pPr>
      <w:r w:rsidRPr="00C44C9C">
        <w:rPr>
          <w:b/>
          <w:color w:val="00B050"/>
          <w:u w:val="single"/>
        </w:rPr>
        <w:t>Position</w:t>
      </w:r>
      <w:r>
        <w:br/>
      </w:r>
      <w:r>
        <w:rPr>
          <w:sz w:val="22"/>
        </w:rPr>
        <w:t>I</w:t>
      </w:r>
      <w:r w:rsidRPr="00C44C9C">
        <w:rPr>
          <w:sz w:val="22"/>
        </w:rPr>
        <w:t xml:space="preserve"> fully </w:t>
      </w:r>
      <w:proofErr w:type="gramStart"/>
      <w:r w:rsidRPr="00C44C9C">
        <w:rPr>
          <w:sz w:val="22"/>
        </w:rPr>
        <w:t>supports</w:t>
      </w:r>
      <w:proofErr w:type="gramEnd"/>
      <w:r w:rsidRPr="00C44C9C">
        <w:rPr>
          <w:sz w:val="22"/>
        </w:rPr>
        <w:t xml:space="preserve"> </w:t>
      </w:r>
      <w:r w:rsidRPr="00C44C9C">
        <w:rPr>
          <w:rStyle w:val="Strong"/>
          <w:sz w:val="22"/>
        </w:rPr>
        <w:t>Option 1</w:t>
      </w:r>
      <w:r w:rsidRPr="00C44C9C">
        <w:rPr>
          <w:sz w:val="22"/>
        </w:rPr>
        <w:t xml:space="preserve"> of the TGA’s proposed Schedule 5 amendment for </w:t>
      </w:r>
      <w:proofErr w:type="spellStart"/>
      <w:r w:rsidRPr="00C44C9C">
        <w:rPr>
          <w:rStyle w:val="Strong"/>
          <w:sz w:val="22"/>
        </w:rPr>
        <w:t>homosalate</w:t>
      </w:r>
      <w:proofErr w:type="spellEnd"/>
      <w:r w:rsidRPr="00C44C9C">
        <w:rPr>
          <w:sz w:val="22"/>
        </w:rPr>
        <w:t xml:space="preserve">, limiting exemption to therapeutic and cosmetic preparations containing </w:t>
      </w:r>
      <w:r w:rsidRPr="00C44C9C">
        <w:rPr>
          <w:rStyle w:val="Strong"/>
          <w:sz w:val="22"/>
        </w:rPr>
        <w:t>≤ 0.28%</w:t>
      </w:r>
      <w:r w:rsidRPr="00C44C9C">
        <w:rPr>
          <w:sz w:val="22"/>
        </w:rPr>
        <w:t xml:space="preserve">. This threshold is the </w:t>
      </w:r>
      <w:r w:rsidRPr="00C44C9C">
        <w:rPr>
          <w:rStyle w:val="Strong"/>
          <w:sz w:val="22"/>
        </w:rPr>
        <w:t>only scenario</w:t>
      </w:r>
      <w:r w:rsidRPr="00C44C9C">
        <w:rPr>
          <w:sz w:val="22"/>
        </w:rPr>
        <w:t xml:space="preserve"> in which the </w:t>
      </w:r>
      <w:r w:rsidRPr="00C44C9C">
        <w:rPr>
          <w:rStyle w:val="Strong"/>
          <w:sz w:val="22"/>
        </w:rPr>
        <w:t>Margin of Safety (</w:t>
      </w:r>
      <w:proofErr w:type="spellStart"/>
      <w:r w:rsidRPr="00C44C9C">
        <w:rPr>
          <w:rStyle w:val="Strong"/>
          <w:sz w:val="22"/>
        </w:rPr>
        <w:t>MoS</w:t>
      </w:r>
      <w:proofErr w:type="spellEnd"/>
      <w:r w:rsidRPr="00C44C9C">
        <w:rPr>
          <w:rStyle w:val="Strong"/>
          <w:sz w:val="22"/>
        </w:rPr>
        <w:t>) exceeds 100</w:t>
      </w:r>
      <w:r w:rsidRPr="00C44C9C">
        <w:rPr>
          <w:sz w:val="22"/>
        </w:rPr>
        <w:t xml:space="preserve"> under the </w:t>
      </w:r>
      <w:r w:rsidRPr="00C44C9C">
        <w:rPr>
          <w:rStyle w:val="Strong"/>
          <w:sz w:val="22"/>
        </w:rPr>
        <w:t>Australian Sunscreen Exposure Model (ASEM)</w:t>
      </w:r>
      <w:r w:rsidRPr="00C44C9C">
        <w:rPr>
          <w:sz w:val="22"/>
        </w:rPr>
        <w:t>, and reflects the most precautionary and scientifically robust interpretation of available data.</w:t>
      </w:r>
    </w:p>
    <w:p w14:paraId="5AB6E7D5" w14:textId="77777777" w:rsidR="006362AB" w:rsidRPr="00C44C9C" w:rsidRDefault="006362AB" w:rsidP="006362AB">
      <w:pPr>
        <w:rPr>
          <w:sz w:val="20"/>
        </w:rPr>
      </w:pPr>
    </w:p>
    <w:p w14:paraId="35E8B324" w14:textId="77777777" w:rsidR="006362AB" w:rsidRPr="00C44C9C" w:rsidRDefault="006362AB" w:rsidP="006362AB">
      <w:pPr>
        <w:rPr>
          <w:color w:val="00B050"/>
          <w:sz w:val="24"/>
          <w:u w:val="single"/>
        </w:rPr>
      </w:pPr>
      <w:r w:rsidRPr="00C44C9C">
        <w:rPr>
          <w:rStyle w:val="Strong"/>
          <w:bCs w:val="0"/>
          <w:color w:val="00B050"/>
          <w:sz w:val="24"/>
          <w:u w:val="single"/>
        </w:rPr>
        <w:t>Scientific Rationale</w:t>
      </w:r>
    </w:p>
    <w:p w14:paraId="3B2D40F9" w14:textId="77777777" w:rsidR="006362AB" w:rsidRPr="0049195D" w:rsidRDefault="006362AB" w:rsidP="006362A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9195D">
        <w:rPr>
          <w:sz w:val="22"/>
          <w:szCs w:val="22"/>
        </w:rPr>
        <w:t xml:space="preserve">The </w:t>
      </w:r>
      <w:r w:rsidRPr="0049195D">
        <w:rPr>
          <w:rStyle w:val="Strong"/>
          <w:sz w:val="22"/>
          <w:szCs w:val="22"/>
        </w:rPr>
        <w:t>TGA’s Safety Review (2025)</w:t>
      </w:r>
      <w:r w:rsidRPr="0049195D">
        <w:rPr>
          <w:sz w:val="22"/>
          <w:szCs w:val="22"/>
        </w:rPr>
        <w:t xml:space="preserve"> determined that at the currently permitted 15% concentration, </w:t>
      </w:r>
      <w:proofErr w:type="spellStart"/>
      <w:r w:rsidRPr="0049195D">
        <w:rPr>
          <w:sz w:val="22"/>
          <w:szCs w:val="22"/>
        </w:rPr>
        <w:t>homosalate</w:t>
      </w:r>
      <w:proofErr w:type="spellEnd"/>
      <w:r w:rsidRPr="0049195D">
        <w:rPr>
          <w:sz w:val="22"/>
          <w:szCs w:val="22"/>
        </w:rPr>
        <w:t xml:space="preserve"> poses an </w:t>
      </w:r>
      <w:r w:rsidRPr="0049195D">
        <w:rPr>
          <w:rStyle w:val="Strong"/>
          <w:sz w:val="22"/>
          <w:szCs w:val="22"/>
        </w:rPr>
        <w:t>unacceptable risk of systemic exposure</w:t>
      </w:r>
      <w:r w:rsidRPr="0049195D">
        <w:rPr>
          <w:sz w:val="22"/>
          <w:szCs w:val="22"/>
        </w:rPr>
        <w:t xml:space="preserve">, with the derived </w:t>
      </w:r>
      <w:proofErr w:type="spellStart"/>
      <w:r w:rsidRPr="0049195D">
        <w:rPr>
          <w:sz w:val="22"/>
          <w:szCs w:val="22"/>
        </w:rPr>
        <w:t>MoS</w:t>
      </w:r>
      <w:proofErr w:type="spellEnd"/>
      <w:r w:rsidRPr="0049195D">
        <w:rPr>
          <w:sz w:val="22"/>
          <w:szCs w:val="22"/>
        </w:rPr>
        <w:t xml:space="preserve"> </w:t>
      </w:r>
      <w:r w:rsidRPr="0049195D">
        <w:rPr>
          <w:rStyle w:val="Strong"/>
          <w:sz w:val="22"/>
          <w:szCs w:val="22"/>
        </w:rPr>
        <w:t>well below the regulatory benchmark of 100</w:t>
      </w:r>
      <w:r w:rsidRPr="0049195D">
        <w:rPr>
          <w:sz w:val="22"/>
          <w:szCs w:val="22"/>
        </w:rPr>
        <w:t xml:space="preserve"> (TGA, 2025). Based on dermal absorption estimates of </w:t>
      </w:r>
      <w:r w:rsidRPr="0049195D">
        <w:rPr>
          <w:rStyle w:val="Strong"/>
          <w:sz w:val="22"/>
          <w:szCs w:val="22"/>
        </w:rPr>
        <w:t>5.3%</w:t>
      </w:r>
      <w:r w:rsidRPr="0049195D">
        <w:rPr>
          <w:sz w:val="22"/>
          <w:szCs w:val="22"/>
        </w:rPr>
        <w:t xml:space="preserve"> (SCCS, 2021), and an established </w:t>
      </w:r>
      <w:r w:rsidRPr="0049195D">
        <w:rPr>
          <w:rStyle w:val="Strong"/>
          <w:sz w:val="22"/>
          <w:szCs w:val="22"/>
        </w:rPr>
        <w:t xml:space="preserve">NOAEL of 10 mg/kg </w:t>
      </w:r>
      <w:proofErr w:type="spellStart"/>
      <w:r w:rsidRPr="0049195D">
        <w:rPr>
          <w:rStyle w:val="Strong"/>
          <w:sz w:val="22"/>
          <w:szCs w:val="22"/>
        </w:rPr>
        <w:t>bw</w:t>
      </w:r>
      <w:proofErr w:type="spellEnd"/>
      <w:r w:rsidRPr="0049195D">
        <w:rPr>
          <w:rStyle w:val="Strong"/>
          <w:sz w:val="22"/>
          <w:szCs w:val="22"/>
        </w:rPr>
        <w:t>/day</w:t>
      </w:r>
      <w:r w:rsidRPr="0049195D">
        <w:rPr>
          <w:sz w:val="22"/>
          <w:szCs w:val="22"/>
        </w:rPr>
        <w:t xml:space="preserve"> for endocrine endpoints, systemic exposure at real-world usage levels exceeds safe thresholds.</w:t>
      </w:r>
    </w:p>
    <w:p w14:paraId="52226294" w14:textId="77777777" w:rsidR="006362AB" w:rsidRPr="0049195D" w:rsidRDefault="006362AB" w:rsidP="006362A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9195D">
        <w:rPr>
          <w:sz w:val="22"/>
          <w:szCs w:val="22"/>
        </w:rPr>
        <w:t xml:space="preserve">SCCS (2021) found that </w:t>
      </w:r>
      <w:proofErr w:type="spellStart"/>
      <w:r w:rsidRPr="0049195D">
        <w:rPr>
          <w:sz w:val="22"/>
          <w:szCs w:val="22"/>
        </w:rPr>
        <w:t>homosalate</w:t>
      </w:r>
      <w:proofErr w:type="spellEnd"/>
      <w:r w:rsidRPr="0049195D">
        <w:rPr>
          <w:sz w:val="22"/>
          <w:szCs w:val="22"/>
        </w:rPr>
        <w:t xml:space="preserve"> at 10% yields a Margin of Safety (</w:t>
      </w:r>
      <w:proofErr w:type="spellStart"/>
      <w:r w:rsidRPr="0049195D">
        <w:rPr>
          <w:sz w:val="22"/>
          <w:szCs w:val="22"/>
        </w:rPr>
        <w:t>MoS</w:t>
      </w:r>
      <w:proofErr w:type="spellEnd"/>
      <w:r w:rsidRPr="0049195D">
        <w:rPr>
          <w:sz w:val="22"/>
          <w:szCs w:val="22"/>
        </w:rPr>
        <w:t xml:space="preserve">) of only </w:t>
      </w:r>
      <w:r w:rsidRPr="0049195D">
        <w:rPr>
          <w:rStyle w:val="Strong"/>
          <w:sz w:val="22"/>
          <w:szCs w:val="22"/>
        </w:rPr>
        <w:t>6.3</w:t>
      </w:r>
      <w:r w:rsidRPr="0049195D">
        <w:rPr>
          <w:sz w:val="22"/>
          <w:szCs w:val="22"/>
        </w:rPr>
        <w:t xml:space="preserve">, using a dermal absorption value of 5.3% and a NOAEL of 10 mg/kg </w:t>
      </w:r>
      <w:proofErr w:type="spellStart"/>
      <w:r w:rsidRPr="0049195D">
        <w:rPr>
          <w:sz w:val="22"/>
          <w:szCs w:val="22"/>
        </w:rPr>
        <w:t>bw</w:t>
      </w:r>
      <w:proofErr w:type="spellEnd"/>
      <w:r w:rsidRPr="0049195D">
        <w:rPr>
          <w:sz w:val="22"/>
          <w:szCs w:val="22"/>
        </w:rPr>
        <w:t xml:space="preserve">/day — far below the regulatory benchmark of 100. In fact, the SCCS determined that only concentrations below 0.5% could meet safety thresholds, even under limited-use conditions. When recalculated under the ASEM model’s real-world assumptions (e.g. 140 g/day), the </w:t>
      </w:r>
      <w:proofErr w:type="spellStart"/>
      <w:r w:rsidRPr="0049195D">
        <w:rPr>
          <w:sz w:val="22"/>
          <w:szCs w:val="22"/>
        </w:rPr>
        <w:t>MoS</w:t>
      </w:r>
      <w:proofErr w:type="spellEnd"/>
      <w:r w:rsidRPr="0049195D">
        <w:rPr>
          <w:sz w:val="22"/>
          <w:szCs w:val="22"/>
        </w:rPr>
        <w:t xml:space="preserve"> of 100 is achieved </w:t>
      </w:r>
      <w:r w:rsidRPr="0049195D">
        <w:rPr>
          <w:rStyle w:val="Strong"/>
          <w:sz w:val="22"/>
          <w:szCs w:val="22"/>
        </w:rPr>
        <w:t>only at ≤ 0.28%</w:t>
      </w:r>
      <w:r w:rsidRPr="0049195D">
        <w:rPr>
          <w:sz w:val="22"/>
          <w:szCs w:val="22"/>
        </w:rPr>
        <w:t xml:space="preserve"> — confirming that Option 1 represents the most scientifically defensible and internationally aligned limit (SCCS, 2021; TGA, 2025).</w:t>
      </w:r>
    </w:p>
    <w:p w14:paraId="0C2CA49B" w14:textId="77777777" w:rsidR="006362AB" w:rsidRPr="0049195D" w:rsidRDefault="006362AB" w:rsidP="006362A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9195D">
        <w:rPr>
          <w:sz w:val="22"/>
          <w:szCs w:val="22"/>
        </w:rPr>
        <w:t xml:space="preserve">Using the ASEM model — calibrated to Australian sun protection practices (up to </w:t>
      </w:r>
      <w:r w:rsidRPr="0049195D">
        <w:rPr>
          <w:rStyle w:val="Strong"/>
          <w:sz w:val="22"/>
          <w:szCs w:val="22"/>
        </w:rPr>
        <w:t>140 g/day</w:t>
      </w:r>
      <w:r w:rsidRPr="0049195D">
        <w:rPr>
          <w:sz w:val="22"/>
          <w:szCs w:val="22"/>
        </w:rPr>
        <w:t xml:space="preserve"> application) — the </w:t>
      </w:r>
      <w:r w:rsidRPr="0049195D">
        <w:rPr>
          <w:rStyle w:val="Strong"/>
          <w:sz w:val="22"/>
          <w:szCs w:val="22"/>
        </w:rPr>
        <w:t xml:space="preserve">only scenario producing </w:t>
      </w:r>
      <w:proofErr w:type="spellStart"/>
      <w:r w:rsidRPr="0049195D">
        <w:rPr>
          <w:rStyle w:val="Strong"/>
          <w:sz w:val="22"/>
          <w:szCs w:val="22"/>
        </w:rPr>
        <w:t>MoS</w:t>
      </w:r>
      <w:proofErr w:type="spellEnd"/>
      <w:r w:rsidRPr="0049195D">
        <w:rPr>
          <w:rStyle w:val="Strong"/>
          <w:sz w:val="22"/>
          <w:szCs w:val="22"/>
        </w:rPr>
        <w:t xml:space="preserve"> ≥ 100</w:t>
      </w:r>
      <w:r w:rsidRPr="0049195D">
        <w:rPr>
          <w:sz w:val="22"/>
          <w:szCs w:val="22"/>
        </w:rPr>
        <w:t xml:space="preserve"> was when </w:t>
      </w:r>
      <w:proofErr w:type="spellStart"/>
      <w:r w:rsidRPr="0049195D">
        <w:rPr>
          <w:sz w:val="22"/>
          <w:szCs w:val="22"/>
        </w:rPr>
        <w:t>homosalate</w:t>
      </w:r>
      <w:proofErr w:type="spellEnd"/>
      <w:r w:rsidRPr="0049195D">
        <w:rPr>
          <w:sz w:val="22"/>
          <w:szCs w:val="22"/>
        </w:rPr>
        <w:t xml:space="preserve"> was limited to </w:t>
      </w:r>
      <w:r w:rsidRPr="0049195D">
        <w:rPr>
          <w:rStyle w:val="Strong"/>
          <w:sz w:val="22"/>
          <w:szCs w:val="22"/>
        </w:rPr>
        <w:t>0.28% across all product types</w:t>
      </w:r>
      <w:r w:rsidRPr="0049195D">
        <w:rPr>
          <w:sz w:val="22"/>
          <w:szCs w:val="22"/>
        </w:rPr>
        <w:t xml:space="preserve"> (TGA, 2025).</w:t>
      </w:r>
    </w:p>
    <w:p w14:paraId="27B383CF" w14:textId="77777777" w:rsidR="006362AB" w:rsidRDefault="006362AB" w:rsidP="006362AB"/>
    <w:p w14:paraId="2CD46A33" w14:textId="77777777" w:rsidR="006362AB" w:rsidRPr="00C44C9C" w:rsidRDefault="006362AB" w:rsidP="006362AB">
      <w:pPr>
        <w:rPr>
          <w:color w:val="00B050"/>
          <w:sz w:val="24"/>
          <w:u w:val="single"/>
        </w:rPr>
      </w:pPr>
      <w:r w:rsidRPr="00C44C9C">
        <w:rPr>
          <w:rStyle w:val="Strong"/>
          <w:bCs w:val="0"/>
          <w:color w:val="00B050"/>
          <w:sz w:val="24"/>
          <w:u w:val="single"/>
        </w:rPr>
        <w:t>Toxicological Profile</w:t>
      </w:r>
    </w:p>
    <w:p w14:paraId="6BFB03BC" w14:textId="77777777" w:rsidR="006362AB" w:rsidRDefault="006362AB" w:rsidP="006362AB">
      <w:proofErr w:type="spellStart"/>
      <w:r>
        <w:t>Homosalate</w:t>
      </w:r>
      <w:proofErr w:type="spellEnd"/>
      <w:r>
        <w:t xml:space="preserve"> exhibits </w:t>
      </w:r>
      <w:r>
        <w:rPr>
          <w:rStyle w:val="Strong"/>
        </w:rPr>
        <w:t>endocrine-disrupting properties</w:t>
      </w:r>
      <w:r>
        <w:t xml:space="preserve"> across multiple mechanistic pathways:</w:t>
      </w:r>
    </w:p>
    <w:p w14:paraId="17CB4201" w14:textId="77777777" w:rsidR="006362AB" w:rsidRDefault="006362AB" w:rsidP="006362AB">
      <w:pPr>
        <w:pStyle w:val="ListParagraph"/>
        <w:numPr>
          <w:ilvl w:val="0"/>
          <w:numId w:val="7"/>
        </w:numPr>
      </w:pPr>
      <w:r>
        <w:t xml:space="preserve">In vitro studies confirm activation of </w:t>
      </w:r>
      <w:r>
        <w:rPr>
          <w:rStyle w:val="Strong"/>
        </w:rPr>
        <w:t>estrogen receptors</w:t>
      </w:r>
      <w:r>
        <w:t xml:space="preserve">, suppression of </w:t>
      </w:r>
      <w:r>
        <w:rPr>
          <w:rStyle w:val="Strong"/>
        </w:rPr>
        <w:t>androgenic signalling</w:t>
      </w:r>
      <w:r>
        <w:t xml:space="preserve">, and disruption of </w:t>
      </w:r>
      <w:r>
        <w:rPr>
          <w:rStyle w:val="Strong"/>
        </w:rPr>
        <w:t>thyroid hormone regulation</w:t>
      </w:r>
      <w:r>
        <w:t xml:space="preserve"> (SCCS, 2021).</w:t>
      </w:r>
    </w:p>
    <w:p w14:paraId="6BAFD9D5" w14:textId="77777777" w:rsidR="006362AB" w:rsidRDefault="006362AB" w:rsidP="006362AB">
      <w:pPr>
        <w:pStyle w:val="ListParagraph"/>
        <w:numPr>
          <w:ilvl w:val="0"/>
          <w:numId w:val="7"/>
        </w:numPr>
      </w:pPr>
      <w:r>
        <w:t xml:space="preserve">Animal studies show </w:t>
      </w:r>
      <w:r>
        <w:rPr>
          <w:rStyle w:val="Strong"/>
        </w:rPr>
        <w:t>proliferative changes</w:t>
      </w:r>
      <w:r>
        <w:t xml:space="preserve"> in estrogen-sensitive tissues, </w:t>
      </w:r>
      <w:r>
        <w:rPr>
          <w:rStyle w:val="Strong"/>
        </w:rPr>
        <w:t xml:space="preserve">altered </w:t>
      </w:r>
      <w:proofErr w:type="spellStart"/>
      <w:r>
        <w:rPr>
          <w:rStyle w:val="Strong"/>
        </w:rPr>
        <w:t>estrous</w:t>
      </w:r>
      <w:proofErr w:type="spellEnd"/>
      <w:r>
        <w:rPr>
          <w:rStyle w:val="Strong"/>
        </w:rPr>
        <w:t xml:space="preserve"> cycles</w:t>
      </w:r>
      <w:r>
        <w:t xml:space="preserve">, and effects on the </w:t>
      </w:r>
      <w:r>
        <w:rPr>
          <w:rStyle w:val="Strong"/>
        </w:rPr>
        <w:t>GH/IGF hormonal axis</w:t>
      </w:r>
      <w:r>
        <w:t xml:space="preserve"> (AICIS, 2024).</w:t>
      </w:r>
    </w:p>
    <w:p w14:paraId="5444A66E" w14:textId="77777777" w:rsidR="006362AB" w:rsidRDefault="006362AB" w:rsidP="006362AB">
      <w:pPr>
        <w:pStyle w:val="ListParagraph"/>
        <w:numPr>
          <w:ilvl w:val="0"/>
          <w:numId w:val="7"/>
        </w:numPr>
      </w:pPr>
      <w:r>
        <w:t xml:space="preserve">The </w:t>
      </w:r>
      <w:r>
        <w:rPr>
          <w:rStyle w:val="Strong"/>
        </w:rPr>
        <w:t>SCCS (2021)</w:t>
      </w:r>
      <w:r>
        <w:t xml:space="preserve"> concluded that </w:t>
      </w:r>
      <w:proofErr w:type="spellStart"/>
      <w:r>
        <w:t>homosalate</w:t>
      </w:r>
      <w:proofErr w:type="spellEnd"/>
      <w:r>
        <w:t xml:space="preserve"> is </w:t>
      </w:r>
      <w:r>
        <w:rPr>
          <w:rStyle w:val="Strong"/>
        </w:rPr>
        <w:t>not safe at concentrations &gt;0.5%</w:t>
      </w:r>
      <w:r>
        <w:t>, prompting the EU to implement new restrictions from January 2025.</w:t>
      </w:r>
    </w:p>
    <w:p w14:paraId="68B1B315" w14:textId="77777777" w:rsidR="006362AB" w:rsidRDefault="006362AB" w:rsidP="006362AB">
      <w:r>
        <w:lastRenderedPageBreak/>
        <w:t xml:space="preserve">Given its </w:t>
      </w:r>
      <w:r>
        <w:rPr>
          <w:rStyle w:val="Strong"/>
        </w:rPr>
        <w:t>lipophilicity</w:t>
      </w:r>
      <w:r>
        <w:t xml:space="preserve"> and </w:t>
      </w:r>
      <w:r>
        <w:rPr>
          <w:rStyle w:val="Strong"/>
        </w:rPr>
        <w:t>bioaccumulation potential</w:t>
      </w:r>
      <w:r>
        <w:t xml:space="preserve">, </w:t>
      </w:r>
      <w:proofErr w:type="spellStart"/>
      <w:r>
        <w:t>homosalate</w:t>
      </w:r>
      <w:proofErr w:type="spellEnd"/>
      <w:r>
        <w:t xml:space="preserve"> is also persistent in human tissue, further reinforcing the need for a conservative threshold.</w:t>
      </w:r>
    </w:p>
    <w:p w14:paraId="043026C4" w14:textId="77777777" w:rsidR="006362AB" w:rsidRDefault="006362AB" w:rsidP="006362AB"/>
    <w:p w14:paraId="464BE387" w14:textId="77777777" w:rsidR="006362AB" w:rsidRPr="00C44C9C" w:rsidRDefault="006362AB" w:rsidP="006362AB">
      <w:pPr>
        <w:rPr>
          <w:color w:val="00B050"/>
          <w:u w:val="single"/>
        </w:rPr>
      </w:pPr>
      <w:r w:rsidRPr="00C44C9C">
        <w:rPr>
          <w:rStyle w:val="Strong"/>
          <w:bCs w:val="0"/>
          <w:color w:val="00B050"/>
          <w:u w:val="single"/>
        </w:rPr>
        <w:t>International Regulatory Alignment</w:t>
      </w:r>
    </w:p>
    <w:p w14:paraId="68647FF7" w14:textId="77777777" w:rsidR="006362AB" w:rsidRDefault="006362AB" w:rsidP="006362AB">
      <w:pPr>
        <w:pStyle w:val="ListParagraph"/>
        <w:numPr>
          <w:ilvl w:val="0"/>
          <w:numId w:val="8"/>
        </w:numPr>
      </w:pPr>
      <w:r>
        <w:rPr>
          <w:rStyle w:val="Strong"/>
        </w:rPr>
        <w:t>European Union</w:t>
      </w:r>
      <w:r>
        <w:t>: Maximum 7.34% in face products only (non-aerosol), and banned in propellant sprays (European Commission, 2022).</w:t>
      </w:r>
    </w:p>
    <w:p w14:paraId="728E2355" w14:textId="77777777" w:rsidR="006362AB" w:rsidRDefault="006362AB" w:rsidP="006362AB">
      <w:pPr>
        <w:pStyle w:val="ListParagraph"/>
        <w:numPr>
          <w:ilvl w:val="0"/>
          <w:numId w:val="8"/>
        </w:numPr>
      </w:pPr>
      <w:r>
        <w:rPr>
          <w:rStyle w:val="Strong"/>
        </w:rPr>
        <w:t>Canada and ASEAN</w:t>
      </w:r>
      <w:r>
        <w:t>: Max 10%, but under review.</w:t>
      </w:r>
    </w:p>
    <w:p w14:paraId="51EE76B4" w14:textId="77777777" w:rsidR="006362AB" w:rsidRDefault="006362AB" w:rsidP="006362AB">
      <w:pPr>
        <w:pStyle w:val="ListParagraph"/>
        <w:numPr>
          <w:ilvl w:val="0"/>
          <w:numId w:val="8"/>
        </w:numPr>
      </w:pPr>
      <w:r>
        <w:rPr>
          <w:rStyle w:val="Strong"/>
        </w:rPr>
        <w:t>United States (FDA)</w:t>
      </w:r>
      <w:r>
        <w:t xml:space="preserve">: </w:t>
      </w:r>
      <w:proofErr w:type="spellStart"/>
      <w:r>
        <w:t>Homosalate</w:t>
      </w:r>
      <w:proofErr w:type="spellEnd"/>
      <w:r>
        <w:t xml:space="preserve"> is not classified as </w:t>
      </w:r>
      <w:r>
        <w:rPr>
          <w:rStyle w:val="Strong"/>
        </w:rPr>
        <w:t>GRASE</w:t>
      </w:r>
      <w:r>
        <w:t xml:space="preserve"> (“Generally Recognized as Safe and Effective”) due to insufficient safety data (AICIS, 2024).</w:t>
      </w:r>
    </w:p>
    <w:p w14:paraId="444CB6ED" w14:textId="77777777" w:rsidR="006362AB" w:rsidRDefault="006362AB" w:rsidP="006362AB">
      <w:r>
        <w:t xml:space="preserve">In contrast, </w:t>
      </w:r>
      <w:r>
        <w:rPr>
          <w:rStyle w:val="Strong"/>
        </w:rPr>
        <w:t>Australia’s historic 15% approval</w:t>
      </w:r>
      <w:r>
        <w:t xml:space="preserve"> was granted </w:t>
      </w:r>
      <w:r>
        <w:rPr>
          <w:rStyle w:val="Strong"/>
        </w:rPr>
        <w:t>without a formal toxicological assessment</w:t>
      </w:r>
      <w:r>
        <w:t>. The current review corrects that regulatory oversight (TGA, 2025).</w:t>
      </w:r>
    </w:p>
    <w:p w14:paraId="4E126C47" w14:textId="77777777" w:rsidR="006362AB" w:rsidRPr="00C44C9C" w:rsidRDefault="006362AB" w:rsidP="006362AB">
      <w:pPr>
        <w:rPr>
          <w:b/>
          <w:color w:val="00B050"/>
          <w:sz w:val="24"/>
          <w:u w:val="single"/>
        </w:rPr>
      </w:pPr>
    </w:p>
    <w:p w14:paraId="33D0B2E4" w14:textId="77777777" w:rsidR="006362AB" w:rsidRPr="00C44C9C" w:rsidRDefault="006362AB" w:rsidP="006362AB">
      <w:pPr>
        <w:rPr>
          <w:b/>
          <w:color w:val="00B050"/>
          <w:sz w:val="24"/>
          <w:u w:val="single"/>
        </w:rPr>
      </w:pPr>
      <w:r w:rsidRPr="00C44C9C">
        <w:rPr>
          <w:rStyle w:val="Strong"/>
          <w:bCs w:val="0"/>
          <w:color w:val="00B050"/>
          <w:sz w:val="24"/>
          <w:u w:val="single"/>
        </w:rPr>
        <w:t>Australian-Specific Context</w:t>
      </w:r>
    </w:p>
    <w:p w14:paraId="686B9929" w14:textId="77777777" w:rsidR="006362AB" w:rsidRDefault="006362AB" w:rsidP="006362AB">
      <w:r>
        <w:t xml:space="preserve">Australia’s </w:t>
      </w:r>
      <w:r>
        <w:rPr>
          <w:rStyle w:val="Strong"/>
        </w:rPr>
        <w:t>unique exposure pattern</w:t>
      </w:r>
      <w:r>
        <w:t xml:space="preserve"> — including full-body application, high-frequency use, and vulnerable populations (children, pregnant women) — makes international thresholds unsuitable.</w:t>
      </w:r>
    </w:p>
    <w:p w14:paraId="02DFACEA" w14:textId="77777777" w:rsidR="006362AB" w:rsidRDefault="006362AB" w:rsidP="006362AB">
      <w:r>
        <w:t xml:space="preserve">The </w:t>
      </w:r>
      <w:r>
        <w:rPr>
          <w:rStyle w:val="Strong"/>
        </w:rPr>
        <w:t>ASEM (2024)</w:t>
      </w:r>
      <w:r>
        <w:t xml:space="preserve"> is now the most </w:t>
      </w:r>
      <w:r>
        <w:rPr>
          <w:rStyle w:val="Strong"/>
        </w:rPr>
        <w:t>evidence-based exposure model globally</w:t>
      </w:r>
      <w:r>
        <w:t xml:space="preserve">, and clearly indicates that 15% </w:t>
      </w:r>
      <w:proofErr w:type="spellStart"/>
      <w:r>
        <w:t>homosalate</w:t>
      </w:r>
      <w:proofErr w:type="spellEnd"/>
      <w:r>
        <w:t xml:space="preserve"> yields systemic exposure </w:t>
      </w:r>
      <w:r>
        <w:rPr>
          <w:rStyle w:val="Strong"/>
        </w:rPr>
        <w:t>up to 12× higher</w:t>
      </w:r>
      <w:r>
        <w:t xml:space="preserve"> than European safety assumptions (TGA, 2025).</w:t>
      </w:r>
    </w:p>
    <w:p w14:paraId="59F93984" w14:textId="77777777" w:rsidR="006362AB" w:rsidRDefault="006362AB" w:rsidP="006362AB"/>
    <w:p w14:paraId="492052C0" w14:textId="77777777" w:rsidR="006362AB" w:rsidRPr="00B21DB2" w:rsidRDefault="006362AB" w:rsidP="006362AB">
      <w:pPr>
        <w:rPr>
          <w:color w:val="00B050"/>
          <w:u w:val="single"/>
        </w:rPr>
      </w:pPr>
      <w:r w:rsidRPr="00B21DB2">
        <w:rPr>
          <w:rStyle w:val="Strong"/>
          <w:color w:val="00B050"/>
          <w:u w:val="single"/>
        </w:rPr>
        <w:t>Endocrine Disruption and Reproductive Toxicity</w:t>
      </w:r>
    </w:p>
    <w:p w14:paraId="78135967" w14:textId="77777777" w:rsidR="006362AB" w:rsidRDefault="006362AB" w:rsidP="006362AB">
      <w:proofErr w:type="spellStart"/>
      <w:r>
        <w:t>Homosalate</w:t>
      </w:r>
      <w:proofErr w:type="spellEnd"/>
      <w:r>
        <w:t xml:space="preserve"> acts as an endocrine-active chemical, impacting estrogen, androgen, and progesterone receptors. DiNardo (2020) reports that </w:t>
      </w:r>
      <w:proofErr w:type="spellStart"/>
      <w:r>
        <w:t>homosalate</w:t>
      </w:r>
      <w:proofErr w:type="spellEnd"/>
      <w:r>
        <w:t xml:space="preserve"> and its primary metabolites — notably methyl salicylate and 2,3-dihydroxybenzoic acid — cause delayed puberty, altered testosterone, and increased uterine weight in rodents at low doses.</w:t>
      </w:r>
    </w:p>
    <w:p w14:paraId="1959B377" w14:textId="77777777" w:rsidR="006362AB" w:rsidRDefault="006362AB" w:rsidP="006362AB">
      <w:r>
        <w:t xml:space="preserve">Several studies also confirm </w:t>
      </w:r>
      <w:r>
        <w:rPr>
          <w:rStyle w:val="Strong"/>
        </w:rPr>
        <w:t>placental transfer and breast milk detection</w:t>
      </w:r>
      <w:r>
        <w:t xml:space="preserve">, raising concern for </w:t>
      </w:r>
      <w:proofErr w:type="spellStart"/>
      <w:r>
        <w:t>fetal</w:t>
      </w:r>
      <w:proofErr w:type="spellEnd"/>
      <w:r>
        <w:t xml:space="preserve"> and neonatal exposure during critical developmental windows. These effects are consistent with other salicylate-derived UV filters.</w:t>
      </w:r>
    </w:p>
    <w:p w14:paraId="62E0600D" w14:textId="77777777" w:rsidR="006362AB" w:rsidRDefault="006362AB" w:rsidP="006362AB"/>
    <w:p w14:paraId="7D39E5E7" w14:textId="77777777" w:rsidR="006362AB" w:rsidRPr="006362AB" w:rsidRDefault="006362AB" w:rsidP="006362AB">
      <w:pPr>
        <w:rPr>
          <w:b/>
          <w:color w:val="00B050"/>
          <w:u w:val="single"/>
        </w:rPr>
      </w:pPr>
      <w:r w:rsidRPr="006362AB">
        <w:rPr>
          <w:b/>
          <w:color w:val="00B050"/>
          <w:u w:val="single"/>
        </w:rPr>
        <w:t>Availability of Safer Options</w:t>
      </w:r>
    </w:p>
    <w:p w14:paraId="5B9D7985" w14:textId="64070AE5" w:rsidR="006362AB" w:rsidRPr="006362AB" w:rsidRDefault="006362AB" w:rsidP="006362AB">
      <w:pPr>
        <w:rPr>
          <w:sz w:val="24"/>
        </w:rPr>
      </w:pPr>
      <w:r w:rsidRPr="006362AB">
        <w:rPr>
          <w:sz w:val="24"/>
        </w:rPr>
        <w:t xml:space="preserve">Broad-spectrum sunscreens that do </w:t>
      </w:r>
      <w:r w:rsidRPr="006362AB">
        <w:rPr>
          <w:b/>
          <w:bCs/>
          <w:sz w:val="24"/>
        </w:rPr>
        <w:t xml:space="preserve">not contain </w:t>
      </w:r>
      <w:proofErr w:type="spellStart"/>
      <w:r w:rsidRPr="006362AB">
        <w:rPr>
          <w:b/>
          <w:bCs/>
          <w:sz w:val="24"/>
        </w:rPr>
        <w:t>homosalate</w:t>
      </w:r>
      <w:proofErr w:type="spellEnd"/>
      <w:r w:rsidRPr="006362AB">
        <w:rPr>
          <w:b/>
          <w:bCs/>
          <w:sz w:val="24"/>
        </w:rPr>
        <w:t xml:space="preserve"> or other hormone-disrupting chemicals</w:t>
      </w:r>
      <w:r w:rsidRPr="006362AB">
        <w:rPr>
          <w:sz w:val="24"/>
        </w:rPr>
        <w:t xml:space="preserve"> are already available in Australia. Many of </w:t>
      </w:r>
      <w:proofErr w:type="gramStart"/>
      <w:r w:rsidRPr="006362AB">
        <w:rPr>
          <w:sz w:val="24"/>
        </w:rPr>
        <w:t>these use</w:t>
      </w:r>
      <w:proofErr w:type="gramEnd"/>
      <w:r w:rsidRPr="006362AB">
        <w:rPr>
          <w:sz w:val="24"/>
        </w:rPr>
        <w:t xml:space="preserve"> </w:t>
      </w:r>
      <w:r w:rsidRPr="006362AB">
        <w:rPr>
          <w:b/>
          <w:bCs/>
          <w:sz w:val="24"/>
        </w:rPr>
        <w:t>non-</w:t>
      </w:r>
      <w:proofErr w:type="spellStart"/>
      <w:r w:rsidRPr="006362AB">
        <w:rPr>
          <w:b/>
          <w:bCs/>
          <w:sz w:val="24"/>
        </w:rPr>
        <w:t>nano</w:t>
      </w:r>
      <w:proofErr w:type="spellEnd"/>
      <w:r w:rsidRPr="006362AB">
        <w:rPr>
          <w:b/>
          <w:bCs/>
          <w:sz w:val="24"/>
        </w:rPr>
        <w:t xml:space="preserve"> zinc oxide</w:t>
      </w:r>
      <w:r w:rsidRPr="006362AB">
        <w:rPr>
          <w:sz w:val="24"/>
        </w:rPr>
        <w:t>, which provides strong sun protection without being absorbed into the body.</w:t>
      </w:r>
    </w:p>
    <w:p w14:paraId="04B25E91" w14:textId="789B275A" w:rsidR="006362AB" w:rsidRDefault="006362AB" w:rsidP="006362AB">
      <w:pPr>
        <w:rPr>
          <w:sz w:val="24"/>
        </w:rPr>
      </w:pPr>
      <w:r w:rsidRPr="006362AB">
        <w:rPr>
          <w:sz w:val="24"/>
        </w:rPr>
        <w:lastRenderedPageBreak/>
        <w:t xml:space="preserve">These safer options prove that strong restrictions are possible </w:t>
      </w:r>
      <w:r w:rsidRPr="006362AB">
        <w:rPr>
          <w:b/>
          <w:bCs/>
          <w:sz w:val="24"/>
        </w:rPr>
        <w:t>without limiting consumer choice</w:t>
      </w:r>
      <w:r w:rsidRPr="006362AB">
        <w:rPr>
          <w:sz w:val="24"/>
        </w:rPr>
        <w:t>. Reform is realistic — and overdue.</w:t>
      </w:r>
    </w:p>
    <w:p w14:paraId="734196D0" w14:textId="77777777" w:rsidR="006362AB" w:rsidRPr="006362AB" w:rsidRDefault="006362AB" w:rsidP="006362AB">
      <w:pPr>
        <w:rPr>
          <w:sz w:val="24"/>
        </w:rPr>
      </w:pPr>
    </w:p>
    <w:p w14:paraId="49E2A10A" w14:textId="77777777" w:rsidR="006362AB" w:rsidRPr="00C44C9C" w:rsidRDefault="006362AB" w:rsidP="006362AB">
      <w:pPr>
        <w:rPr>
          <w:color w:val="00B050"/>
          <w:sz w:val="24"/>
          <w:u w:val="single"/>
        </w:rPr>
      </w:pPr>
      <w:r w:rsidRPr="00C44C9C">
        <w:rPr>
          <w:rStyle w:val="Strong"/>
          <w:bCs w:val="0"/>
          <w:color w:val="00B050"/>
          <w:sz w:val="24"/>
          <w:u w:val="single"/>
        </w:rPr>
        <w:t>Conclusion</w:t>
      </w:r>
    </w:p>
    <w:p w14:paraId="1648D799" w14:textId="3D11F240" w:rsidR="006362AB" w:rsidRDefault="00E9510C" w:rsidP="006362AB">
      <w:r>
        <w:t>I</w:t>
      </w:r>
      <w:r w:rsidR="006362AB">
        <w:t xml:space="preserve"> urge the Delegate to adopt </w:t>
      </w:r>
      <w:r w:rsidR="006362AB">
        <w:rPr>
          <w:rStyle w:val="Strong"/>
        </w:rPr>
        <w:t>Option 1</w:t>
      </w:r>
      <w:r w:rsidR="006362AB">
        <w:t xml:space="preserve"> and amend the Poisons Standard such that:</w:t>
      </w:r>
    </w:p>
    <w:p w14:paraId="0383CFB1" w14:textId="77777777" w:rsidR="006362AB" w:rsidRPr="00C9450E" w:rsidRDefault="006362AB" w:rsidP="006362AB">
      <w:pPr>
        <w:ind w:left="720"/>
        <w:rPr>
          <w:i/>
          <w:color w:val="7030A0"/>
        </w:rPr>
      </w:pPr>
      <w:r w:rsidRPr="00C9450E">
        <w:rPr>
          <w:rStyle w:val="Strong"/>
          <w:i/>
          <w:color w:val="7030A0"/>
        </w:rPr>
        <w:t>HOMOSALATE</w:t>
      </w:r>
      <w:r w:rsidRPr="00C9450E">
        <w:rPr>
          <w:i/>
          <w:color w:val="7030A0"/>
        </w:rPr>
        <w:t xml:space="preserve"> in therapeutic sunscreens and cosmetic preparations is a </w:t>
      </w:r>
      <w:r w:rsidRPr="00C9450E">
        <w:rPr>
          <w:rStyle w:val="Strong"/>
          <w:i/>
          <w:color w:val="7030A0"/>
        </w:rPr>
        <w:t>Schedule 5 substance</w:t>
      </w:r>
      <w:r w:rsidRPr="00C9450E">
        <w:rPr>
          <w:i/>
          <w:color w:val="7030A0"/>
        </w:rPr>
        <w:t xml:space="preserve">, </w:t>
      </w:r>
      <w:r w:rsidRPr="00C9450E">
        <w:rPr>
          <w:rStyle w:val="Strong"/>
          <w:i/>
          <w:color w:val="7030A0"/>
        </w:rPr>
        <w:t>except when present at concentrations ≤ 0.28%.</w:t>
      </w:r>
    </w:p>
    <w:p w14:paraId="72C37B3C" w14:textId="77777777" w:rsidR="006362AB" w:rsidRDefault="006362AB" w:rsidP="006362AB">
      <w:r>
        <w:t>This threshold reflects the best available science, aligns with the TGA’s own model, and ensures long-term consumer safety in the Australian context.</w:t>
      </w:r>
    </w:p>
    <w:p w14:paraId="505BA701" w14:textId="77777777" w:rsidR="006362AB" w:rsidRDefault="006362AB" w:rsidP="006362AB">
      <w:pPr>
        <w:spacing w:after="200" w:line="276" w:lineRule="auto"/>
        <w:jc w:val="left"/>
      </w:pPr>
      <w:r>
        <w:br w:type="page"/>
      </w:r>
    </w:p>
    <w:p w14:paraId="6722B517" w14:textId="77777777" w:rsidR="006362AB" w:rsidRDefault="006362AB" w:rsidP="006362AB">
      <w:pPr>
        <w:pStyle w:val="Heading1"/>
        <w:rPr>
          <w:szCs w:val="36"/>
        </w:rPr>
      </w:pPr>
      <w:bookmarkStart w:id="3" w:name="_Toc205203506"/>
      <w:r>
        <w:rPr>
          <w:rStyle w:val="Strong"/>
          <w:b/>
          <w:bCs/>
        </w:rPr>
        <w:lastRenderedPageBreak/>
        <w:t>Section 2: Oxybenzone – Support for Restriction (≤ 1.0%)</w:t>
      </w:r>
      <w:bookmarkEnd w:id="3"/>
    </w:p>
    <w:p w14:paraId="398A2A7E" w14:textId="77777777" w:rsidR="006362AB" w:rsidRPr="00C44C9C" w:rsidRDefault="006362AB" w:rsidP="006362AB">
      <w:pPr>
        <w:pStyle w:val="NormalWeb"/>
        <w:rPr>
          <w:b/>
          <w:color w:val="00B050"/>
          <w:u w:val="single"/>
        </w:rPr>
      </w:pPr>
      <w:r w:rsidRPr="00C44C9C">
        <w:rPr>
          <w:b/>
          <w:color w:val="00B050"/>
          <w:u w:val="single"/>
        </w:rPr>
        <w:t>Position</w:t>
      </w:r>
    </w:p>
    <w:p w14:paraId="048CF646" w14:textId="75E0CE3E" w:rsidR="006362AB" w:rsidRDefault="006362AB" w:rsidP="006362AB">
      <w:r>
        <w:t xml:space="preserve">I support </w:t>
      </w:r>
      <w:r>
        <w:rPr>
          <w:rStyle w:val="Strong"/>
        </w:rPr>
        <w:t>Option 1</w:t>
      </w:r>
      <w:r>
        <w:t xml:space="preserve"> of the proposed Schedule 5 amendment for </w:t>
      </w:r>
      <w:r>
        <w:rPr>
          <w:rStyle w:val="Strong"/>
        </w:rPr>
        <w:t>oxybenzone</w:t>
      </w:r>
      <w:r>
        <w:t xml:space="preserve">, limiting exemption to products containing </w:t>
      </w:r>
      <w:r>
        <w:rPr>
          <w:rStyle w:val="Strong"/>
        </w:rPr>
        <w:t>≤ 1.0%</w:t>
      </w:r>
      <w:r>
        <w:t xml:space="preserve">. This threshold reflects the </w:t>
      </w:r>
      <w:r>
        <w:rPr>
          <w:rStyle w:val="Strong"/>
        </w:rPr>
        <w:t>upper boundary at which a Margin of Safety (</w:t>
      </w:r>
      <w:proofErr w:type="spellStart"/>
      <w:r>
        <w:rPr>
          <w:rStyle w:val="Strong"/>
        </w:rPr>
        <w:t>MoS</w:t>
      </w:r>
      <w:proofErr w:type="spellEnd"/>
      <w:r>
        <w:rPr>
          <w:rStyle w:val="Strong"/>
        </w:rPr>
        <w:t>) approaches 100</w:t>
      </w:r>
      <w:r>
        <w:t xml:space="preserve"> under Australian exposure conditions, and is consistent with both the </w:t>
      </w:r>
      <w:r>
        <w:rPr>
          <w:rStyle w:val="Strong"/>
        </w:rPr>
        <w:t>TGA’s 2025 Safety Review</w:t>
      </w:r>
      <w:r>
        <w:t xml:space="preserve"> and growing global concern over oxybenzone’s </w:t>
      </w:r>
      <w:r>
        <w:rPr>
          <w:rStyle w:val="Strong"/>
        </w:rPr>
        <w:t>systemic, endocrine, and environmental toxicity</w:t>
      </w:r>
      <w:r>
        <w:t>.</w:t>
      </w:r>
    </w:p>
    <w:p w14:paraId="2ED08E62" w14:textId="77777777" w:rsidR="006362AB" w:rsidRDefault="006362AB" w:rsidP="006362AB"/>
    <w:p w14:paraId="11F30CDD" w14:textId="77777777" w:rsidR="006362AB" w:rsidRPr="002443BC" w:rsidRDefault="006362AB" w:rsidP="006362AB">
      <w:pPr>
        <w:rPr>
          <w:color w:val="00B050"/>
          <w:sz w:val="24"/>
          <w:u w:val="single"/>
        </w:rPr>
      </w:pPr>
      <w:r w:rsidRPr="002443BC">
        <w:rPr>
          <w:rStyle w:val="Strong"/>
          <w:bCs w:val="0"/>
          <w:color w:val="00B050"/>
          <w:sz w:val="24"/>
          <w:u w:val="single"/>
        </w:rPr>
        <w:t>Scientific Rationale</w:t>
      </w:r>
    </w:p>
    <w:p w14:paraId="344123CC" w14:textId="77777777" w:rsidR="006362AB" w:rsidRDefault="006362AB" w:rsidP="006362AB">
      <w:r>
        <w:t xml:space="preserve">Oxybenzone is </w:t>
      </w:r>
      <w:r>
        <w:rPr>
          <w:rStyle w:val="Strong"/>
        </w:rPr>
        <w:t>rapidly and systemically absorbed</w:t>
      </w:r>
      <w:r>
        <w:t xml:space="preserve"> following dermal application, with biomonitoring data showing it reaches </w:t>
      </w:r>
      <w:r>
        <w:rPr>
          <w:rStyle w:val="Strong"/>
        </w:rPr>
        <w:t>plasma concentrations far above FDA toxicological thresholds</w:t>
      </w:r>
      <w:r>
        <w:t xml:space="preserve"> following typical use (Matta et al., 2020). The </w:t>
      </w:r>
      <w:r>
        <w:rPr>
          <w:rStyle w:val="Strong"/>
        </w:rPr>
        <w:t>FDA removed oxybenzone from the GRASE category in 2019</w:t>
      </w:r>
      <w:r>
        <w:t xml:space="preserve">, requiring a full safety dossier due to insufficient evidence of long-term safety (FDA, 2019). </w:t>
      </w:r>
    </w:p>
    <w:p w14:paraId="420714B6" w14:textId="77777777" w:rsidR="006362AB" w:rsidRDefault="006362AB" w:rsidP="006362AB">
      <w:r>
        <w:t xml:space="preserve">The </w:t>
      </w:r>
      <w:r>
        <w:rPr>
          <w:rStyle w:val="Strong"/>
        </w:rPr>
        <w:t>TGA (2025)</w:t>
      </w:r>
      <w:r>
        <w:t xml:space="preserve"> confirmed that at the current 10% concentration:</w:t>
      </w:r>
    </w:p>
    <w:p w14:paraId="24B26E86" w14:textId="77777777" w:rsidR="006362AB" w:rsidRDefault="006362AB" w:rsidP="006362AB">
      <w:pPr>
        <w:pStyle w:val="ListParagraph"/>
        <w:numPr>
          <w:ilvl w:val="0"/>
          <w:numId w:val="9"/>
        </w:numPr>
      </w:pPr>
      <w:proofErr w:type="spellStart"/>
      <w:r>
        <w:t>MoS</w:t>
      </w:r>
      <w:proofErr w:type="spellEnd"/>
      <w:r>
        <w:t xml:space="preserve"> is </w:t>
      </w:r>
      <w:r>
        <w:rPr>
          <w:rStyle w:val="Strong"/>
        </w:rPr>
        <w:t>well below 100</w:t>
      </w:r>
    </w:p>
    <w:p w14:paraId="6C46CD70" w14:textId="77777777" w:rsidR="006362AB" w:rsidRDefault="006362AB" w:rsidP="006362AB">
      <w:pPr>
        <w:pStyle w:val="ListParagraph"/>
        <w:numPr>
          <w:ilvl w:val="0"/>
          <w:numId w:val="9"/>
        </w:numPr>
      </w:pPr>
      <w:r>
        <w:t xml:space="preserve">Safety cannot be ensured, even for </w:t>
      </w:r>
      <w:r>
        <w:rPr>
          <w:rStyle w:val="Strong"/>
        </w:rPr>
        <w:t>face-only products at 6%</w:t>
      </w:r>
    </w:p>
    <w:p w14:paraId="73443BD1" w14:textId="77777777" w:rsidR="006362AB" w:rsidRDefault="006362AB" w:rsidP="006362AB">
      <w:pPr>
        <w:pStyle w:val="ListParagraph"/>
        <w:numPr>
          <w:ilvl w:val="0"/>
          <w:numId w:val="9"/>
        </w:numPr>
      </w:pPr>
      <w:r>
        <w:t xml:space="preserve">Only at or below </w:t>
      </w:r>
      <w:r>
        <w:rPr>
          <w:rStyle w:val="Strong"/>
        </w:rPr>
        <w:t>1.0%</w:t>
      </w:r>
      <w:r>
        <w:t xml:space="preserve"> does systemic exposure approach acceptable levels using ASEM </w:t>
      </w:r>
      <w:proofErr w:type="spellStart"/>
      <w:r>
        <w:t>modeling</w:t>
      </w:r>
      <w:proofErr w:type="spellEnd"/>
    </w:p>
    <w:p w14:paraId="1BB7C421" w14:textId="77777777" w:rsidR="006362AB" w:rsidRDefault="006362AB" w:rsidP="006362AB"/>
    <w:p w14:paraId="73EBDB8F" w14:textId="77777777" w:rsidR="006362AB" w:rsidRDefault="006362AB" w:rsidP="006362AB">
      <w:r>
        <w:t xml:space="preserve">The </w:t>
      </w:r>
      <w:r>
        <w:rPr>
          <w:rStyle w:val="Strong"/>
        </w:rPr>
        <w:t>ASEM model</w:t>
      </w:r>
      <w:r>
        <w:t>, based on full-body Australian sunscreen use, estimates daily exposure at 140 g/day, making oxybenzone’s high dermal absorption (approx. 6%) especially concerning (TGA, 2025).</w:t>
      </w:r>
    </w:p>
    <w:p w14:paraId="3A52F848" w14:textId="77777777" w:rsidR="006362AB" w:rsidRDefault="006362AB" w:rsidP="006362AB"/>
    <w:p w14:paraId="1C0BBB66" w14:textId="77777777" w:rsidR="006362AB" w:rsidRPr="00C9450E" w:rsidRDefault="006362AB" w:rsidP="006362AB">
      <w:pPr>
        <w:rPr>
          <w:color w:val="00B050"/>
          <w:sz w:val="24"/>
          <w:u w:val="single"/>
        </w:rPr>
      </w:pPr>
      <w:r w:rsidRPr="00C9450E">
        <w:rPr>
          <w:rStyle w:val="Strong"/>
          <w:bCs w:val="0"/>
          <w:color w:val="00B050"/>
          <w:sz w:val="24"/>
          <w:u w:val="single"/>
        </w:rPr>
        <w:t>Toxicological Profile</w:t>
      </w:r>
    </w:p>
    <w:p w14:paraId="0920F859" w14:textId="77777777" w:rsidR="006362AB" w:rsidRDefault="006362AB" w:rsidP="006362AB">
      <w:pPr>
        <w:pStyle w:val="ListParagraph"/>
        <w:numPr>
          <w:ilvl w:val="0"/>
          <w:numId w:val="10"/>
        </w:numPr>
      </w:pPr>
      <w:r>
        <w:t xml:space="preserve">Oxybenzone is a </w:t>
      </w:r>
      <w:r>
        <w:rPr>
          <w:rStyle w:val="Strong"/>
        </w:rPr>
        <w:t>multi-target endocrine disruptor</w:t>
      </w:r>
      <w:r>
        <w:t xml:space="preserve">, impacting </w:t>
      </w:r>
      <w:r>
        <w:rPr>
          <w:rStyle w:val="Strong"/>
        </w:rPr>
        <w:t>estrogen, androgen, and thyroid pathways</w:t>
      </w:r>
      <w:r>
        <w:t xml:space="preserve"> (SCCS, 2021)</w:t>
      </w:r>
    </w:p>
    <w:p w14:paraId="50E41BF6" w14:textId="77777777" w:rsidR="006362AB" w:rsidRDefault="006362AB" w:rsidP="006362AB">
      <w:pPr>
        <w:pStyle w:val="ListParagraph"/>
        <w:numPr>
          <w:ilvl w:val="0"/>
          <w:numId w:val="10"/>
        </w:numPr>
      </w:pPr>
      <w:r>
        <w:t>Developmental and reproductive toxicity has been demonstrated in multiple species at</w:t>
      </w:r>
      <w:r w:rsidRPr="00A26102">
        <w:rPr>
          <w:b/>
        </w:rPr>
        <w:t xml:space="preserve"> low doses</w:t>
      </w:r>
    </w:p>
    <w:p w14:paraId="5A119DF5" w14:textId="77777777" w:rsidR="006362AB" w:rsidRDefault="006362AB" w:rsidP="006362AB">
      <w:pPr>
        <w:pStyle w:val="ListParagraph"/>
        <w:numPr>
          <w:ilvl w:val="0"/>
          <w:numId w:val="10"/>
        </w:numPr>
      </w:pPr>
      <w:r>
        <w:t xml:space="preserve">Human biomonitoring links oxybenzone levels to </w:t>
      </w:r>
      <w:r>
        <w:rPr>
          <w:rStyle w:val="Strong"/>
        </w:rPr>
        <w:t>reduced testosterone in adolescent males</w:t>
      </w:r>
      <w:r>
        <w:t xml:space="preserve">, </w:t>
      </w:r>
      <w:r>
        <w:rPr>
          <w:rStyle w:val="Strong"/>
        </w:rPr>
        <w:t>altered birth outcomes</w:t>
      </w:r>
      <w:r>
        <w:t xml:space="preserve">, and potential </w:t>
      </w:r>
      <w:r>
        <w:rPr>
          <w:rStyle w:val="Strong"/>
        </w:rPr>
        <w:t>breast tissue estrogenic effects</w:t>
      </w:r>
      <w:r>
        <w:t xml:space="preserve"> (Downs et al., 2021)</w:t>
      </w:r>
    </w:p>
    <w:p w14:paraId="70E5A7ED" w14:textId="77777777" w:rsidR="006362AB" w:rsidRDefault="006362AB" w:rsidP="006362AB">
      <w:pPr>
        <w:pStyle w:val="ListParagraph"/>
        <w:numPr>
          <w:ilvl w:val="0"/>
          <w:numId w:val="10"/>
        </w:numPr>
      </w:pPr>
      <w:r>
        <w:rPr>
          <w:rStyle w:val="Strong"/>
        </w:rPr>
        <w:lastRenderedPageBreak/>
        <w:t>SCCS (2021)</w:t>
      </w:r>
      <w:r>
        <w:t xml:space="preserve"> concluded that oxybenzone </w:t>
      </w:r>
      <w:r>
        <w:rPr>
          <w:rStyle w:val="Strong"/>
        </w:rPr>
        <w:t>should not exceed 2.2%</w:t>
      </w:r>
      <w:r>
        <w:t xml:space="preserve"> in body products and </w:t>
      </w:r>
      <w:r>
        <w:rPr>
          <w:rStyle w:val="Strong"/>
        </w:rPr>
        <w:t>6%</w:t>
      </w:r>
      <w:r>
        <w:t xml:space="preserve"> in face/lip/hand products, only under limited exposure conditions</w:t>
      </w:r>
    </w:p>
    <w:p w14:paraId="35682CD4" w14:textId="77777777" w:rsidR="006362AB" w:rsidRDefault="006362AB" w:rsidP="006362AB"/>
    <w:p w14:paraId="788C930F" w14:textId="77777777" w:rsidR="006362AB" w:rsidRPr="002443BC" w:rsidRDefault="006362AB" w:rsidP="006362AB">
      <w:pPr>
        <w:rPr>
          <w:sz w:val="24"/>
        </w:rPr>
      </w:pPr>
      <w:r w:rsidRPr="002443BC">
        <w:rPr>
          <w:rStyle w:val="Strong"/>
          <w:bCs w:val="0"/>
          <w:color w:val="00B050"/>
          <w:sz w:val="24"/>
          <w:u w:val="single"/>
        </w:rPr>
        <w:t>Environmental Toxicity</w:t>
      </w:r>
    </w:p>
    <w:p w14:paraId="43F2A2AE" w14:textId="77777777" w:rsidR="006362AB" w:rsidRDefault="006362AB" w:rsidP="006362AB">
      <w:r>
        <w:t>Beyond human health, oxybenzone poses serious environmental risks:</w:t>
      </w:r>
    </w:p>
    <w:p w14:paraId="4E57CD58" w14:textId="77777777" w:rsidR="006362AB" w:rsidRDefault="006362AB" w:rsidP="006362AB">
      <w:pPr>
        <w:pStyle w:val="ListParagraph"/>
        <w:numPr>
          <w:ilvl w:val="0"/>
          <w:numId w:val="11"/>
        </w:numPr>
      </w:pPr>
      <w:r>
        <w:t xml:space="preserve">It is toxic to </w:t>
      </w:r>
      <w:r>
        <w:rPr>
          <w:rStyle w:val="Strong"/>
        </w:rPr>
        <w:t>coral reefs</w:t>
      </w:r>
      <w:r>
        <w:t xml:space="preserve">, causing </w:t>
      </w:r>
      <w:r>
        <w:rPr>
          <w:rStyle w:val="Strong"/>
        </w:rPr>
        <w:t>DNA damage, bleaching, and endocrine disruption</w:t>
      </w:r>
      <w:r>
        <w:t xml:space="preserve"> in marine organisms</w:t>
      </w:r>
    </w:p>
    <w:p w14:paraId="196D8489" w14:textId="77777777" w:rsidR="006362AB" w:rsidRDefault="006362AB" w:rsidP="006362AB">
      <w:pPr>
        <w:pStyle w:val="ListParagraph"/>
        <w:numPr>
          <w:ilvl w:val="0"/>
          <w:numId w:val="11"/>
        </w:numPr>
      </w:pPr>
      <w:r>
        <w:t xml:space="preserve">Detected in </w:t>
      </w:r>
      <w:r>
        <w:rPr>
          <w:rStyle w:val="Strong"/>
        </w:rPr>
        <w:t>surface waters and aquatic wildlife globally</w:t>
      </w:r>
      <w:r>
        <w:t>, including Australian ecosystems</w:t>
      </w:r>
    </w:p>
    <w:p w14:paraId="19822DE6" w14:textId="77777777" w:rsidR="006362AB" w:rsidRDefault="006362AB" w:rsidP="006362AB">
      <w:pPr>
        <w:pStyle w:val="ListParagraph"/>
        <w:numPr>
          <w:ilvl w:val="0"/>
          <w:numId w:val="11"/>
        </w:numPr>
      </w:pPr>
      <w:r>
        <w:rPr>
          <w:rStyle w:val="Strong"/>
        </w:rPr>
        <w:t>Banned in Hawaii, Palau, Thailand</w:t>
      </w:r>
      <w:r>
        <w:t xml:space="preserve">, and </w:t>
      </w:r>
      <w:r>
        <w:rPr>
          <w:rStyle w:val="Strong"/>
        </w:rPr>
        <w:t>restricted in the EU</w:t>
      </w:r>
      <w:r>
        <w:t xml:space="preserve"> — reflecting growing international consensus (TGA, 2025)</w:t>
      </w:r>
    </w:p>
    <w:p w14:paraId="322797E3" w14:textId="77777777" w:rsidR="006362AB" w:rsidRDefault="006362AB" w:rsidP="006362AB"/>
    <w:p w14:paraId="33FAB64F" w14:textId="77777777" w:rsidR="006362AB" w:rsidRPr="002443BC" w:rsidRDefault="006362AB" w:rsidP="006362AB">
      <w:pPr>
        <w:rPr>
          <w:sz w:val="24"/>
        </w:rPr>
      </w:pPr>
      <w:proofErr w:type="spellStart"/>
      <w:r w:rsidRPr="002443BC">
        <w:rPr>
          <w:rStyle w:val="Strong"/>
          <w:bCs w:val="0"/>
          <w:color w:val="00B050"/>
          <w:sz w:val="24"/>
          <w:u w:val="single"/>
        </w:rPr>
        <w:t>Byproduct</w:t>
      </w:r>
      <w:proofErr w:type="spellEnd"/>
      <w:r w:rsidRPr="002443BC">
        <w:rPr>
          <w:rStyle w:val="Strong"/>
          <w:bCs w:val="0"/>
          <w:color w:val="00B050"/>
          <w:sz w:val="24"/>
          <w:u w:val="single"/>
        </w:rPr>
        <w:t xml:space="preserve"> Formation in Pools</w:t>
      </w:r>
    </w:p>
    <w:p w14:paraId="3430BC2F" w14:textId="77777777" w:rsidR="006362AB" w:rsidRDefault="006362AB" w:rsidP="006362AB">
      <w:r>
        <w:t xml:space="preserve">Recent studies confirm that </w:t>
      </w:r>
      <w:r>
        <w:rPr>
          <w:rStyle w:val="Strong"/>
        </w:rPr>
        <w:t>oxybenzone reacts with chlorine</w:t>
      </w:r>
      <w:r>
        <w:t xml:space="preserve"> in swimming pools to form:</w:t>
      </w:r>
    </w:p>
    <w:p w14:paraId="4CB0157D" w14:textId="77777777" w:rsidR="006362AB" w:rsidRDefault="006362AB" w:rsidP="006362AB">
      <w:pPr>
        <w:pStyle w:val="ListParagraph"/>
        <w:numPr>
          <w:ilvl w:val="0"/>
          <w:numId w:val="12"/>
        </w:numPr>
      </w:pPr>
      <w:r>
        <w:rPr>
          <w:rStyle w:val="Strong"/>
        </w:rPr>
        <w:t xml:space="preserve">Volatile chlorinated </w:t>
      </w:r>
      <w:proofErr w:type="spellStart"/>
      <w:r>
        <w:rPr>
          <w:rStyle w:val="Strong"/>
        </w:rPr>
        <w:t>byproducts</w:t>
      </w:r>
      <w:proofErr w:type="spellEnd"/>
      <w:r>
        <w:t xml:space="preserve"> (e.g., trichlorophenols, chlorinated acetophenones)</w:t>
      </w:r>
    </w:p>
    <w:p w14:paraId="1A354204" w14:textId="77777777" w:rsidR="006362AB" w:rsidRDefault="006362AB" w:rsidP="006362AB">
      <w:pPr>
        <w:pStyle w:val="ListParagraph"/>
        <w:numPr>
          <w:ilvl w:val="0"/>
          <w:numId w:val="12"/>
        </w:numPr>
      </w:pPr>
      <w:r>
        <w:t xml:space="preserve">These can </w:t>
      </w:r>
      <w:r>
        <w:rPr>
          <w:rStyle w:val="Strong"/>
        </w:rPr>
        <w:t>accumulate in indoor air</w:t>
      </w:r>
      <w:r>
        <w:t xml:space="preserve"> and act as </w:t>
      </w:r>
      <w:r>
        <w:rPr>
          <w:rStyle w:val="Strong"/>
        </w:rPr>
        <w:t xml:space="preserve">respiratory irritants and potential </w:t>
      </w:r>
      <w:proofErr w:type="spellStart"/>
      <w:r>
        <w:rPr>
          <w:rStyle w:val="Strong"/>
        </w:rPr>
        <w:t>asthmagens</w:t>
      </w:r>
      <w:proofErr w:type="spellEnd"/>
    </w:p>
    <w:p w14:paraId="0832529F" w14:textId="77777777" w:rsidR="006362AB" w:rsidRDefault="006362AB" w:rsidP="006362AB">
      <w:pPr>
        <w:pStyle w:val="ListParagraph"/>
        <w:numPr>
          <w:ilvl w:val="0"/>
          <w:numId w:val="12"/>
        </w:numPr>
      </w:pPr>
      <w:r>
        <w:t xml:space="preserve">While not yet addressed in scheduling, these </w:t>
      </w:r>
      <w:r>
        <w:rPr>
          <w:rStyle w:val="Strong"/>
        </w:rPr>
        <w:t xml:space="preserve">disinfection </w:t>
      </w:r>
      <w:proofErr w:type="spellStart"/>
      <w:r>
        <w:rPr>
          <w:rStyle w:val="Strong"/>
        </w:rPr>
        <w:t>byproducts</w:t>
      </w:r>
      <w:proofErr w:type="spellEnd"/>
      <w:r>
        <w:rPr>
          <w:rStyle w:val="Strong"/>
        </w:rPr>
        <w:t xml:space="preserve"> (DBPs)</w:t>
      </w:r>
      <w:r>
        <w:t xml:space="preserve"> represent an added public health risk (Wang et al., 2016; Krasner et al., 2020)</w:t>
      </w:r>
    </w:p>
    <w:p w14:paraId="0D9855F6" w14:textId="77777777" w:rsidR="006362AB" w:rsidRDefault="006362AB" w:rsidP="006362AB"/>
    <w:p w14:paraId="28267AB0" w14:textId="77777777" w:rsidR="006362AB" w:rsidRPr="002443BC" w:rsidRDefault="006362AB" w:rsidP="006362AB">
      <w:pPr>
        <w:rPr>
          <w:sz w:val="24"/>
        </w:rPr>
      </w:pPr>
      <w:r w:rsidRPr="002443BC">
        <w:rPr>
          <w:rStyle w:val="Strong"/>
          <w:bCs w:val="0"/>
          <w:color w:val="00B050"/>
          <w:sz w:val="24"/>
          <w:u w:val="single"/>
        </w:rPr>
        <w:t>International Regulatory Alignment</w:t>
      </w:r>
    </w:p>
    <w:p w14:paraId="673D6DE1" w14:textId="77777777" w:rsidR="006362AB" w:rsidRDefault="006362AB" w:rsidP="006362AB">
      <w:pPr>
        <w:pStyle w:val="ListParagraph"/>
        <w:numPr>
          <w:ilvl w:val="0"/>
          <w:numId w:val="13"/>
        </w:numPr>
      </w:pPr>
      <w:r>
        <w:rPr>
          <w:rStyle w:val="Strong"/>
        </w:rPr>
        <w:t>EU SCCS (2021)</w:t>
      </w:r>
      <w:r>
        <w:t>: Maximum 2.2% in body products; 6.0% for face/lip/hand only</w:t>
      </w:r>
    </w:p>
    <w:p w14:paraId="3AAD3691" w14:textId="77777777" w:rsidR="006362AB" w:rsidRDefault="006362AB" w:rsidP="006362AB">
      <w:pPr>
        <w:pStyle w:val="ListParagraph"/>
        <w:numPr>
          <w:ilvl w:val="0"/>
          <w:numId w:val="13"/>
        </w:numPr>
      </w:pPr>
      <w:r>
        <w:rPr>
          <w:rStyle w:val="Strong"/>
        </w:rPr>
        <w:t>US FDA (2021)</w:t>
      </w:r>
      <w:r>
        <w:t xml:space="preserve">: Oxybenzone is </w:t>
      </w:r>
      <w:r>
        <w:rPr>
          <w:rStyle w:val="Strong"/>
        </w:rPr>
        <w:t>not GRASE</w:t>
      </w:r>
      <w:r>
        <w:t>, pending further safety data</w:t>
      </w:r>
    </w:p>
    <w:p w14:paraId="22132CBF" w14:textId="77777777" w:rsidR="006362AB" w:rsidRDefault="006362AB" w:rsidP="006362AB">
      <w:pPr>
        <w:pStyle w:val="ListParagraph"/>
        <w:numPr>
          <w:ilvl w:val="0"/>
          <w:numId w:val="13"/>
        </w:numPr>
      </w:pPr>
      <w:r>
        <w:rPr>
          <w:rStyle w:val="Strong"/>
        </w:rPr>
        <w:t>Canada</w:t>
      </w:r>
      <w:r>
        <w:t>: Permitted at ≤6% in OTC products</w:t>
      </w:r>
    </w:p>
    <w:p w14:paraId="54A86D95" w14:textId="77777777" w:rsidR="006362AB" w:rsidRDefault="006362AB" w:rsidP="006362AB">
      <w:pPr>
        <w:pStyle w:val="ListParagraph"/>
        <w:numPr>
          <w:ilvl w:val="0"/>
          <w:numId w:val="13"/>
        </w:numPr>
      </w:pPr>
      <w:r>
        <w:rPr>
          <w:rStyle w:val="Strong"/>
        </w:rPr>
        <w:t>Japan &amp; ASEAN</w:t>
      </w:r>
      <w:r>
        <w:t>: Allowed at ≤5–6%, but under increased scrutiny</w:t>
      </w:r>
    </w:p>
    <w:p w14:paraId="5C80D0EF" w14:textId="77777777" w:rsidR="006362AB" w:rsidRDefault="006362AB" w:rsidP="006362AB"/>
    <w:p w14:paraId="54DC3890" w14:textId="77777777" w:rsidR="006362AB" w:rsidRPr="002443BC" w:rsidRDefault="006362AB" w:rsidP="006362AB">
      <w:pPr>
        <w:rPr>
          <w:sz w:val="24"/>
        </w:rPr>
      </w:pPr>
      <w:r w:rsidRPr="002443BC">
        <w:rPr>
          <w:rStyle w:val="Strong"/>
          <w:bCs w:val="0"/>
          <w:color w:val="00B050"/>
          <w:sz w:val="24"/>
          <w:u w:val="single"/>
        </w:rPr>
        <w:t>Australian Exposure Model</w:t>
      </w:r>
    </w:p>
    <w:p w14:paraId="1F72E10E" w14:textId="77777777" w:rsidR="006362AB" w:rsidRDefault="006362AB" w:rsidP="006362AB">
      <w:r>
        <w:t xml:space="preserve">Oxybenzone has seen declining use in Australian sunscreens, partly due to </w:t>
      </w:r>
      <w:r>
        <w:rPr>
          <w:rStyle w:val="Strong"/>
        </w:rPr>
        <w:t>reef-safe consumer pressure</w:t>
      </w:r>
      <w:r>
        <w:t xml:space="preserve">. However, if reintroduced at high concentrations, </w:t>
      </w:r>
      <w:r>
        <w:rPr>
          <w:rStyle w:val="Strong"/>
        </w:rPr>
        <w:t xml:space="preserve">ASEM </w:t>
      </w:r>
      <w:proofErr w:type="spellStart"/>
      <w:r>
        <w:rPr>
          <w:rStyle w:val="Strong"/>
        </w:rPr>
        <w:t>modeling</w:t>
      </w:r>
      <w:proofErr w:type="spellEnd"/>
      <w:r>
        <w:rPr>
          <w:rStyle w:val="Strong"/>
        </w:rPr>
        <w:t xml:space="preserve"> confirms unacceptable exposure risk</w:t>
      </w:r>
      <w:r>
        <w:t xml:space="preserve"> — particularly for children, daily users, and vulnerable populations (TGA, 2025). </w:t>
      </w:r>
    </w:p>
    <w:p w14:paraId="1530896A" w14:textId="4C552A17" w:rsidR="006362AB" w:rsidRDefault="006362AB" w:rsidP="006362AB"/>
    <w:p w14:paraId="7A3CA113" w14:textId="02FC4540" w:rsidR="006362AB" w:rsidRDefault="006362AB" w:rsidP="006362AB"/>
    <w:p w14:paraId="22F958BB" w14:textId="77777777" w:rsidR="006362AB" w:rsidRDefault="006362AB" w:rsidP="006362AB"/>
    <w:p w14:paraId="30FDDF7C" w14:textId="77777777" w:rsidR="006362AB" w:rsidRPr="006362AB" w:rsidRDefault="006362AB" w:rsidP="006362AB">
      <w:pPr>
        <w:jc w:val="left"/>
        <w:rPr>
          <w:color w:val="00B050"/>
          <w:u w:val="single"/>
        </w:rPr>
      </w:pPr>
      <w:r w:rsidRPr="006362AB">
        <w:rPr>
          <w:b/>
          <w:bCs/>
          <w:color w:val="00B050"/>
          <w:u w:val="single"/>
        </w:rPr>
        <w:lastRenderedPageBreak/>
        <w:t>Availability of Safer Options</w:t>
      </w:r>
    </w:p>
    <w:p w14:paraId="77F3A5D2" w14:textId="77777777" w:rsidR="006362AB" w:rsidRDefault="006362AB" w:rsidP="006362AB">
      <w:pPr>
        <w:jc w:val="left"/>
      </w:pPr>
      <w:r w:rsidRPr="006362AB">
        <w:t xml:space="preserve">Many sunscreens available today </w:t>
      </w:r>
      <w:r w:rsidRPr="006362AB">
        <w:rPr>
          <w:b/>
          <w:bCs/>
        </w:rPr>
        <w:t>do not contain oxybenzone or its related impurities</w:t>
      </w:r>
      <w:r w:rsidRPr="006362AB">
        <w:t xml:space="preserve">. Instead, they use </w:t>
      </w:r>
      <w:r w:rsidRPr="006362AB">
        <w:rPr>
          <w:b/>
          <w:bCs/>
        </w:rPr>
        <w:t>non-</w:t>
      </w:r>
      <w:proofErr w:type="spellStart"/>
      <w:r w:rsidRPr="006362AB">
        <w:rPr>
          <w:b/>
          <w:bCs/>
        </w:rPr>
        <w:t>nano</w:t>
      </w:r>
      <w:proofErr w:type="spellEnd"/>
      <w:r w:rsidRPr="006362AB">
        <w:rPr>
          <w:b/>
          <w:bCs/>
        </w:rPr>
        <w:t xml:space="preserve"> zinc oxide</w:t>
      </w:r>
      <w:r w:rsidRPr="006362AB">
        <w:t>, which offers:</w:t>
      </w:r>
    </w:p>
    <w:p w14:paraId="73B177C2" w14:textId="7C32EF4D" w:rsidR="006362AB" w:rsidRDefault="006362AB" w:rsidP="0013089E">
      <w:pPr>
        <w:pStyle w:val="ListParagraph"/>
        <w:numPr>
          <w:ilvl w:val="0"/>
          <w:numId w:val="25"/>
        </w:numPr>
        <w:jc w:val="left"/>
      </w:pPr>
      <w:r w:rsidRPr="006362AB">
        <w:t>Strong UVA and UVB protection</w:t>
      </w:r>
    </w:p>
    <w:p w14:paraId="4FC9A539" w14:textId="77777777" w:rsidR="006362AB" w:rsidRDefault="006362AB" w:rsidP="0013089E">
      <w:pPr>
        <w:pStyle w:val="ListParagraph"/>
        <w:numPr>
          <w:ilvl w:val="0"/>
          <w:numId w:val="25"/>
        </w:numPr>
        <w:jc w:val="left"/>
      </w:pPr>
      <w:r w:rsidRPr="006362AB">
        <w:t>No hormone disruption or systemic absorption</w:t>
      </w:r>
    </w:p>
    <w:p w14:paraId="57F56510" w14:textId="77777777" w:rsidR="006362AB" w:rsidRDefault="006362AB" w:rsidP="0013089E">
      <w:pPr>
        <w:pStyle w:val="ListParagraph"/>
        <w:numPr>
          <w:ilvl w:val="0"/>
          <w:numId w:val="25"/>
        </w:numPr>
        <w:jc w:val="left"/>
      </w:pPr>
      <w:r w:rsidRPr="006362AB">
        <w:t>Stability in sunlight (photostable)</w:t>
      </w:r>
    </w:p>
    <w:p w14:paraId="167363CD" w14:textId="62BF1780" w:rsidR="006362AB" w:rsidRPr="006362AB" w:rsidRDefault="006362AB" w:rsidP="0013089E">
      <w:pPr>
        <w:pStyle w:val="ListParagraph"/>
        <w:numPr>
          <w:ilvl w:val="0"/>
          <w:numId w:val="25"/>
        </w:numPr>
        <w:jc w:val="left"/>
      </w:pPr>
      <w:r w:rsidRPr="006362AB">
        <w:t>Reef-safe, environmentally friendly ingredients</w:t>
      </w:r>
    </w:p>
    <w:p w14:paraId="63C87B73" w14:textId="77777777" w:rsidR="006362AB" w:rsidRPr="006362AB" w:rsidRDefault="006362AB" w:rsidP="006362AB">
      <w:pPr>
        <w:jc w:val="left"/>
      </w:pPr>
      <w:r w:rsidRPr="006362AB">
        <w:t>These alternatives already meet Australian and international safety standards, showing that it’s fully possible to protect public health without relying on risky ingredients.</w:t>
      </w:r>
    </w:p>
    <w:p w14:paraId="47C3BA9F" w14:textId="77777777" w:rsidR="006362AB" w:rsidRDefault="006362AB" w:rsidP="006362AB"/>
    <w:p w14:paraId="3ADB42AC" w14:textId="77777777" w:rsidR="006362AB" w:rsidRPr="002443BC" w:rsidRDefault="006362AB" w:rsidP="006362AB">
      <w:pPr>
        <w:rPr>
          <w:sz w:val="24"/>
        </w:rPr>
      </w:pPr>
      <w:r w:rsidRPr="002443BC">
        <w:rPr>
          <w:rStyle w:val="Strong"/>
          <w:bCs w:val="0"/>
          <w:color w:val="00B050"/>
          <w:sz w:val="24"/>
          <w:u w:val="single"/>
        </w:rPr>
        <w:t>Conclusion</w:t>
      </w:r>
    </w:p>
    <w:p w14:paraId="0899A352" w14:textId="1E33D0A3" w:rsidR="006362AB" w:rsidRPr="00B21DB2" w:rsidRDefault="00E9510C" w:rsidP="006362AB">
      <w:pPr>
        <w:rPr>
          <w:szCs w:val="22"/>
        </w:rPr>
      </w:pPr>
      <w:r>
        <w:rPr>
          <w:szCs w:val="22"/>
        </w:rPr>
        <w:t xml:space="preserve">I </w:t>
      </w:r>
      <w:r w:rsidR="006362AB" w:rsidRPr="00B21DB2">
        <w:rPr>
          <w:szCs w:val="22"/>
        </w:rPr>
        <w:t xml:space="preserve">urge the Delegate to adopt </w:t>
      </w:r>
      <w:r w:rsidR="006362AB" w:rsidRPr="00B21DB2">
        <w:rPr>
          <w:rStyle w:val="Strong"/>
          <w:szCs w:val="22"/>
        </w:rPr>
        <w:t>Option 1</w:t>
      </w:r>
      <w:r w:rsidR="006362AB" w:rsidRPr="00B21DB2">
        <w:rPr>
          <w:szCs w:val="22"/>
        </w:rPr>
        <w:t xml:space="preserve"> and amend the Poisons Standard such that:</w:t>
      </w:r>
    </w:p>
    <w:p w14:paraId="091B244F" w14:textId="77777777" w:rsidR="006362AB" w:rsidRPr="00B21DB2" w:rsidRDefault="006362AB" w:rsidP="006362AB">
      <w:pPr>
        <w:ind w:left="720"/>
        <w:rPr>
          <w:i/>
          <w:color w:val="7030A0"/>
          <w:szCs w:val="22"/>
        </w:rPr>
      </w:pPr>
      <w:r w:rsidRPr="00B21DB2">
        <w:rPr>
          <w:rStyle w:val="Strong"/>
          <w:i/>
          <w:color w:val="7030A0"/>
          <w:szCs w:val="22"/>
        </w:rPr>
        <w:t>OXYBENZONE</w:t>
      </w:r>
      <w:r w:rsidRPr="00B21DB2">
        <w:rPr>
          <w:i/>
          <w:color w:val="7030A0"/>
          <w:szCs w:val="22"/>
        </w:rPr>
        <w:t xml:space="preserve"> in therapeutic sunscreens and cosmetic preparations is a </w:t>
      </w:r>
      <w:r w:rsidRPr="00B21DB2">
        <w:rPr>
          <w:rStyle w:val="Strong"/>
          <w:i/>
          <w:color w:val="7030A0"/>
          <w:szCs w:val="22"/>
        </w:rPr>
        <w:t>Schedule 5 substance</w:t>
      </w:r>
      <w:r w:rsidRPr="00B21DB2">
        <w:rPr>
          <w:i/>
          <w:color w:val="7030A0"/>
          <w:szCs w:val="22"/>
        </w:rPr>
        <w:t xml:space="preserve">, </w:t>
      </w:r>
      <w:r w:rsidRPr="00B21DB2">
        <w:rPr>
          <w:rStyle w:val="Strong"/>
          <w:i/>
          <w:color w:val="7030A0"/>
          <w:szCs w:val="22"/>
        </w:rPr>
        <w:t>except when present at concentrations ≤ 1.0%.</w:t>
      </w:r>
    </w:p>
    <w:p w14:paraId="714CA1EB" w14:textId="77777777" w:rsidR="006362AB" w:rsidRPr="00B21DB2" w:rsidRDefault="006362AB" w:rsidP="006362AB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B21DB2">
        <w:rPr>
          <w:sz w:val="22"/>
          <w:szCs w:val="22"/>
        </w:rPr>
        <w:t>This aligns with:</w:t>
      </w:r>
    </w:p>
    <w:p w14:paraId="23ECAF8E" w14:textId="77777777" w:rsidR="006362AB" w:rsidRPr="00B21DB2" w:rsidRDefault="006362AB" w:rsidP="0013089E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rPr>
          <w:sz w:val="22"/>
          <w:szCs w:val="22"/>
        </w:rPr>
      </w:pPr>
      <w:r w:rsidRPr="00B21DB2">
        <w:rPr>
          <w:sz w:val="22"/>
          <w:szCs w:val="22"/>
        </w:rPr>
        <w:t>Australia’s real-world exposure conditions</w:t>
      </w:r>
    </w:p>
    <w:p w14:paraId="4A17A5BD" w14:textId="77777777" w:rsidR="006362AB" w:rsidRPr="00B21DB2" w:rsidRDefault="006362AB" w:rsidP="0013089E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rPr>
          <w:sz w:val="22"/>
          <w:szCs w:val="22"/>
        </w:rPr>
      </w:pPr>
      <w:r w:rsidRPr="00B21DB2">
        <w:rPr>
          <w:sz w:val="22"/>
          <w:szCs w:val="22"/>
        </w:rPr>
        <w:t>Global regulatory benchmarks</w:t>
      </w:r>
    </w:p>
    <w:p w14:paraId="083E249F" w14:textId="77777777" w:rsidR="006362AB" w:rsidRPr="00B21DB2" w:rsidRDefault="006362AB" w:rsidP="0013089E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rPr>
          <w:sz w:val="22"/>
          <w:szCs w:val="22"/>
        </w:rPr>
      </w:pPr>
      <w:r w:rsidRPr="00B21DB2">
        <w:rPr>
          <w:sz w:val="22"/>
          <w:szCs w:val="22"/>
        </w:rPr>
        <w:t>The precautionary principle in protecting systemic and ecological health</w:t>
      </w:r>
    </w:p>
    <w:p w14:paraId="530F9CE3" w14:textId="77777777" w:rsidR="006362AB" w:rsidRDefault="006362AB" w:rsidP="006362AB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</w:p>
    <w:p w14:paraId="1041925E" w14:textId="77777777" w:rsidR="006362AB" w:rsidRDefault="006362AB" w:rsidP="006362AB"/>
    <w:p w14:paraId="3E98D041" w14:textId="77777777" w:rsidR="006362AB" w:rsidRDefault="006362AB" w:rsidP="006362AB">
      <w:pPr>
        <w:spacing w:after="200" w:line="276" w:lineRule="auto"/>
        <w:jc w:val="left"/>
      </w:pPr>
      <w:r>
        <w:br w:type="page"/>
      </w:r>
    </w:p>
    <w:p w14:paraId="077A189F" w14:textId="77777777" w:rsidR="006362AB" w:rsidRPr="00490A70" w:rsidRDefault="006362AB" w:rsidP="006362AB">
      <w:pPr>
        <w:pStyle w:val="Heading1"/>
        <w:rPr>
          <w:rStyle w:val="Strong"/>
          <w:b/>
          <w:bCs/>
          <w:szCs w:val="36"/>
        </w:rPr>
      </w:pPr>
      <w:bookmarkStart w:id="4" w:name="_Toc205203507"/>
      <w:r>
        <w:rPr>
          <w:rStyle w:val="Strong"/>
          <w:b/>
          <w:bCs/>
        </w:rPr>
        <w:lastRenderedPageBreak/>
        <w:t>Section 3: Benzophenone – Recommend 0% Limit (No Exemption Threshold)</w:t>
      </w:r>
      <w:bookmarkEnd w:id="4"/>
    </w:p>
    <w:p w14:paraId="720F386B" w14:textId="77777777" w:rsidR="006362AB" w:rsidRPr="002443BC" w:rsidRDefault="006362AB" w:rsidP="006362AB">
      <w:pPr>
        <w:rPr>
          <w:color w:val="00B050"/>
          <w:sz w:val="24"/>
        </w:rPr>
      </w:pPr>
      <w:r w:rsidRPr="002443BC">
        <w:rPr>
          <w:rStyle w:val="Strong"/>
          <w:bCs w:val="0"/>
          <w:color w:val="00B050"/>
          <w:sz w:val="24"/>
        </w:rPr>
        <w:t>Position</w:t>
      </w:r>
    </w:p>
    <w:p w14:paraId="4CF4449A" w14:textId="2514C046" w:rsidR="006362AB" w:rsidRPr="00D06151" w:rsidRDefault="006362AB" w:rsidP="006362AB">
      <w:r>
        <w:t>I</w:t>
      </w:r>
      <w:r w:rsidRPr="00D06151">
        <w:t xml:space="preserve"> strongly </w:t>
      </w:r>
      <w:proofErr w:type="gramStart"/>
      <w:r w:rsidRPr="00D06151">
        <w:t>opposes</w:t>
      </w:r>
      <w:proofErr w:type="gramEnd"/>
      <w:r w:rsidRPr="00D06151">
        <w:t xml:space="preserve"> the TGA’s proposed Schedule 5 exemption for benzophenone at 383 ppm. </w:t>
      </w:r>
      <w:r w:rsidR="00E9510C">
        <w:t>I</w:t>
      </w:r>
      <w:r w:rsidRPr="00D06151">
        <w:t xml:space="preserve"> urge the Delegate to reject this threshold and instead adopt a </w:t>
      </w:r>
      <w:r w:rsidRPr="00490A70">
        <w:rPr>
          <w:b/>
          <w:bCs/>
        </w:rPr>
        <w:t>0% allowable concentration</w:t>
      </w:r>
      <w:r w:rsidRPr="00D06151">
        <w:t xml:space="preserve"> for therapeutic sunscreens — whether as an intentional ingredient, impurity, or degradation product.</w:t>
      </w:r>
    </w:p>
    <w:p w14:paraId="51F898CB" w14:textId="77777777" w:rsidR="006362AB" w:rsidRPr="00490A70" w:rsidRDefault="006362AB" w:rsidP="006362AB">
      <w:r w:rsidRPr="00D06151">
        <w:t xml:space="preserve">This position is based on </w:t>
      </w:r>
      <w:r w:rsidRPr="00490A70">
        <w:rPr>
          <w:b/>
          <w:bCs/>
        </w:rPr>
        <w:t>overwhelming toxicological, photochemical, and regulatory evidence</w:t>
      </w:r>
      <w:r w:rsidRPr="00D06151">
        <w:t xml:space="preserve"> that benzophenone is a </w:t>
      </w:r>
      <w:r w:rsidRPr="00490A70">
        <w:rPr>
          <w:b/>
          <w:bCs/>
        </w:rPr>
        <w:t>non-threshold genotoxin</w:t>
      </w:r>
      <w:r w:rsidRPr="00D06151">
        <w:t xml:space="preserve"> and </w:t>
      </w:r>
      <w:r w:rsidRPr="00490A70">
        <w:rPr>
          <w:b/>
          <w:bCs/>
        </w:rPr>
        <w:t>carcinogen</w:t>
      </w:r>
      <w:r w:rsidRPr="00D06151">
        <w:t xml:space="preserve">, capable of inducing </w:t>
      </w:r>
      <w:r w:rsidRPr="00490A70">
        <w:rPr>
          <w:b/>
          <w:bCs/>
        </w:rPr>
        <w:t>DNA damage, tumour formation, and endocrine disruption</w:t>
      </w:r>
      <w:r w:rsidRPr="00D06151">
        <w:t>, even at trace levels.</w:t>
      </w:r>
    </w:p>
    <w:p w14:paraId="490A7D36" w14:textId="77777777" w:rsidR="006362AB" w:rsidRDefault="006362AB" w:rsidP="006362AB">
      <w:pPr>
        <w:rPr>
          <w:rStyle w:val="Strong"/>
          <w:bCs w:val="0"/>
          <w:color w:val="00B050"/>
          <w:sz w:val="24"/>
          <w:u w:val="single"/>
        </w:rPr>
      </w:pPr>
    </w:p>
    <w:p w14:paraId="327255D0" w14:textId="77777777" w:rsidR="006362AB" w:rsidRPr="002443BC" w:rsidRDefault="006362AB" w:rsidP="006362AB">
      <w:pPr>
        <w:rPr>
          <w:b/>
          <w:color w:val="00B050"/>
          <w:sz w:val="24"/>
          <w:u w:val="single"/>
        </w:rPr>
      </w:pPr>
      <w:r w:rsidRPr="002443BC">
        <w:rPr>
          <w:rStyle w:val="Strong"/>
          <w:bCs w:val="0"/>
          <w:color w:val="00B050"/>
          <w:sz w:val="24"/>
          <w:u w:val="single"/>
        </w:rPr>
        <w:t>Genotoxic and Carcinogenic Potential</w:t>
      </w:r>
    </w:p>
    <w:p w14:paraId="6752D431" w14:textId="77777777" w:rsidR="006362AB" w:rsidRDefault="006362AB" w:rsidP="006362AB">
      <w:r>
        <w:t xml:space="preserve">The </w:t>
      </w:r>
      <w:r>
        <w:rPr>
          <w:rStyle w:val="Strong"/>
        </w:rPr>
        <w:t>TGA’s own summary</w:t>
      </w:r>
      <w:r>
        <w:t xml:space="preserve"> claims no genotoxicity, but this is inconsistent with </w:t>
      </w:r>
      <w:r>
        <w:rPr>
          <w:rStyle w:val="Strong"/>
        </w:rPr>
        <w:t>independent data</w:t>
      </w:r>
      <w:r>
        <w:t>.</w:t>
      </w:r>
    </w:p>
    <w:p w14:paraId="6FA34E83" w14:textId="77777777" w:rsidR="006362AB" w:rsidRDefault="006362AB" w:rsidP="006362AB">
      <w:r>
        <w:t>Multiple studies confirm that benzophenone:</w:t>
      </w:r>
    </w:p>
    <w:p w14:paraId="6707FB50" w14:textId="77777777" w:rsidR="006362AB" w:rsidRDefault="006362AB" w:rsidP="0013089E">
      <w:pPr>
        <w:pStyle w:val="ListParagraph"/>
        <w:numPr>
          <w:ilvl w:val="0"/>
          <w:numId w:val="18"/>
        </w:numPr>
      </w:pPr>
      <w:r>
        <w:t xml:space="preserve">Is </w:t>
      </w:r>
      <w:r>
        <w:rPr>
          <w:rStyle w:val="Strong"/>
        </w:rPr>
        <w:t>positive in the Ames test</w:t>
      </w:r>
      <w:r>
        <w:t xml:space="preserve">, comet assay, and micronucleus assay — particularly under </w:t>
      </w:r>
      <w:r>
        <w:rPr>
          <w:rStyle w:val="Strong"/>
        </w:rPr>
        <w:t>photoactivation</w:t>
      </w:r>
      <w:r>
        <w:t xml:space="preserve"> (</w:t>
      </w:r>
      <w:proofErr w:type="spellStart"/>
      <w:r>
        <w:t>Cuquerella</w:t>
      </w:r>
      <w:proofErr w:type="spellEnd"/>
      <w:r>
        <w:t xml:space="preserve"> et al., 2012; Bernard et al., 2012; DiNardo &amp; Downs, 2025)</w:t>
      </w:r>
    </w:p>
    <w:p w14:paraId="3841127E" w14:textId="77777777" w:rsidR="006362AB" w:rsidRDefault="006362AB" w:rsidP="0013089E">
      <w:pPr>
        <w:pStyle w:val="ListParagraph"/>
        <w:numPr>
          <w:ilvl w:val="0"/>
          <w:numId w:val="18"/>
        </w:numPr>
      </w:pPr>
      <w:r>
        <w:t xml:space="preserve">Forms </w:t>
      </w:r>
      <w:r>
        <w:rPr>
          <w:rStyle w:val="Strong"/>
        </w:rPr>
        <w:t>DNA–protein crosslinks</w:t>
      </w:r>
      <w:r>
        <w:t xml:space="preserve"> and oxidative lesions such as:</w:t>
      </w:r>
    </w:p>
    <w:p w14:paraId="336F2ADD" w14:textId="77777777" w:rsidR="006362AB" w:rsidRDefault="006362AB" w:rsidP="0013089E">
      <w:pPr>
        <w:pStyle w:val="ListParagraph"/>
        <w:numPr>
          <w:ilvl w:val="1"/>
          <w:numId w:val="18"/>
        </w:numPr>
      </w:pPr>
      <w:proofErr w:type="spellStart"/>
      <w:r>
        <w:rPr>
          <w:rStyle w:val="Strong"/>
        </w:rPr>
        <w:t>Imidazolone</w:t>
      </w:r>
      <w:proofErr w:type="spellEnd"/>
    </w:p>
    <w:p w14:paraId="4ACC37E0" w14:textId="77777777" w:rsidR="006362AB" w:rsidRDefault="006362AB" w:rsidP="0013089E">
      <w:pPr>
        <w:pStyle w:val="ListParagraph"/>
        <w:numPr>
          <w:ilvl w:val="1"/>
          <w:numId w:val="18"/>
        </w:numPr>
      </w:pPr>
      <w:r>
        <w:rPr>
          <w:rStyle w:val="Strong"/>
        </w:rPr>
        <w:t>8-oxoguanine</w:t>
      </w:r>
    </w:p>
    <w:p w14:paraId="1788732E" w14:textId="77777777" w:rsidR="006362AB" w:rsidRDefault="006362AB" w:rsidP="0013089E">
      <w:pPr>
        <w:pStyle w:val="ListParagraph"/>
        <w:numPr>
          <w:ilvl w:val="1"/>
          <w:numId w:val="18"/>
        </w:numPr>
      </w:pPr>
      <w:r>
        <w:rPr>
          <w:rStyle w:val="Strong"/>
        </w:rPr>
        <w:t>2-deoxyribonolactone</w:t>
      </w:r>
    </w:p>
    <w:p w14:paraId="68B76747" w14:textId="77777777" w:rsidR="006362AB" w:rsidRDefault="006362AB" w:rsidP="006362AB">
      <w:r>
        <w:t xml:space="preserve">These are caused by UV-induced </w:t>
      </w:r>
      <w:r>
        <w:rPr>
          <w:rStyle w:val="Strong"/>
        </w:rPr>
        <w:t xml:space="preserve">Type I &amp; II photochemical reactions </w:t>
      </w:r>
      <w:r>
        <w:t>not captured by conventional dark-scenario mutagenicity assays.</w:t>
      </w:r>
    </w:p>
    <w:p w14:paraId="5F01F824" w14:textId="77777777" w:rsidR="006362AB" w:rsidRDefault="006362AB" w:rsidP="006362AB">
      <w:pPr>
        <w:ind w:left="720"/>
      </w:pPr>
      <w:r>
        <w:t xml:space="preserve"> “Even low-energy UVA exposure in the presence of benzophenone initiates mutagenic DNA lesions and strand breaks. This is not a threshold mechanism — it is intrinsic to the molecule’s photochemistry.” </w:t>
      </w:r>
      <w:r>
        <w:rPr>
          <w:rStyle w:val="Emphasis"/>
          <w:rFonts w:eastAsiaTheme="majorEastAsia"/>
        </w:rPr>
        <w:t>(Cheng et al., 2012)</w:t>
      </w:r>
    </w:p>
    <w:p w14:paraId="699965C0" w14:textId="77777777" w:rsidR="006362AB" w:rsidRDefault="006362AB" w:rsidP="006362AB">
      <w:r>
        <w:t xml:space="preserve">Regulatory risk assessments relying on bacterial assays or non-photoactivated models </w:t>
      </w:r>
      <w:r>
        <w:rPr>
          <w:rStyle w:val="Strong"/>
        </w:rPr>
        <w:t>miss the primary route of genotoxic harm</w:t>
      </w:r>
      <w:r>
        <w:t xml:space="preserve"> from real-world sunscreen use.</w:t>
      </w:r>
    </w:p>
    <w:p w14:paraId="3CE16D70" w14:textId="77777777" w:rsidR="006362AB" w:rsidRDefault="006362AB" w:rsidP="006362AB">
      <w:pPr>
        <w:rPr>
          <w:b/>
          <w:color w:val="00B050"/>
          <w:sz w:val="24"/>
          <w:u w:val="single"/>
        </w:rPr>
      </w:pPr>
    </w:p>
    <w:p w14:paraId="2F3030BD" w14:textId="77777777" w:rsidR="006362AB" w:rsidRPr="002443BC" w:rsidRDefault="006362AB" w:rsidP="006362AB">
      <w:pPr>
        <w:rPr>
          <w:b/>
          <w:color w:val="00B050"/>
          <w:sz w:val="24"/>
          <w:u w:val="single"/>
        </w:rPr>
      </w:pPr>
      <w:r w:rsidRPr="002443BC">
        <w:rPr>
          <w:b/>
          <w:color w:val="00B050"/>
          <w:sz w:val="24"/>
          <w:u w:val="single"/>
        </w:rPr>
        <w:t>Concerns Regarding the Scientific Basis of the 383 ppm Action Level</w:t>
      </w:r>
    </w:p>
    <w:p w14:paraId="66CA8E56" w14:textId="77777777" w:rsidR="006362AB" w:rsidRDefault="006362AB" w:rsidP="006362AB">
      <w:r>
        <w:t xml:space="preserve">The proposed </w:t>
      </w:r>
      <w:r>
        <w:rPr>
          <w:rStyle w:val="Strong"/>
        </w:rPr>
        <w:t>383 ppm threshold</w:t>
      </w:r>
      <w:r>
        <w:t xml:space="preserve"> for benzophenone is based on a </w:t>
      </w:r>
      <w:r>
        <w:rPr>
          <w:rStyle w:val="Strong"/>
        </w:rPr>
        <w:t xml:space="preserve">NOAEL of 3 mg/kg </w:t>
      </w:r>
      <w:proofErr w:type="spellStart"/>
      <w:r>
        <w:rPr>
          <w:rStyle w:val="Strong"/>
        </w:rPr>
        <w:t>bw</w:t>
      </w:r>
      <w:proofErr w:type="spellEnd"/>
      <w:r>
        <w:rPr>
          <w:rStyle w:val="Strong"/>
        </w:rPr>
        <w:t>/day</w:t>
      </w:r>
      <w:r>
        <w:t xml:space="preserve">, derived from rodent studies with the application of default uncertainty factors (TGA, 2025). However, </w:t>
      </w:r>
      <w:r>
        <w:rPr>
          <w:rStyle w:val="Strong"/>
        </w:rPr>
        <w:t>tumour formation was observed at 312 ppm</w:t>
      </w:r>
      <w:r>
        <w:t xml:space="preserve"> in the same data set (California OEHHA, 2019), leaving little to no margin of safety between effect and no-effect levels. This proximity </w:t>
      </w:r>
      <w:r>
        <w:lastRenderedPageBreak/>
        <w:t>raises important questions about whether the current threshold provides adequate protection under chronic exposure conditions.</w:t>
      </w:r>
    </w:p>
    <w:p w14:paraId="03C3649E" w14:textId="77777777" w:rsidR="006362AB" w:rsidRPr="007052A6" w:rsidRDefault="006362AB" w:rsidP="006362AB">
      <w:pPr>
        <w:pStyle w:val="NormalWeb"/>
        <w:spacing w:before="0" w:beforeAutospacing="0" w:after="0" w:afterAutospacing="0" w:line="360" w:lineRule="auto"/>
        <w:jc w:val="both"/>
        <w:rPr>
          <w:sz w:val="22"/>
        </w:rPr>
      </w:pPr>
      <w:r w:rsidRPr="007052A6">
        <w:rPr>
          <w:sz w:val="22"/>
        </w:rPr>
        <w:t>Further:</w:t>
      </w:r>
    </w:p>
    <w:p w14:paraId="79F7C009" w14:textId="77777777" w:rsidR="006362AB" w:rsidRPr="007052A6" w:rsidRDefault="006362AB" w:rsidP="0013089E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sz w:val="22"/>
        </w:rPr>
      </w:pPr>
      <w:r w:rsidRPr="007052A6">
        <w:rPr>
          <w:sz w:val="22"/>
        </w:rPr>
        <w:t xml:space="preserve">The </w:t>
      </w:r>
      <w:r w:rsidRPr="007052A6">
        <w:rPr>
          <w:rStyle w:val="Strong"/>
          <w:sz w:val="22"/>
        </w:rPr>
        <w:t>FDA (2018)</w:t>
      </w:r>
      <w:r w:rsidRPr="007052A6">
        <w:rPr>
          <w:sz w:val="22"/>
        </w:rPr>
        <w:t xml:space="preserve"> concluded there was </w:t>
      </w:r>
      <w:r w:rsidRPr="007052A6">
        <w:rPr>
          <w:rStyle w:val="Emphasis"/>
          <w:sz w:val="22"/>
        </w:rPr>
        <w:t>no adequate margin of exposure</w:t>
      </w:r>
      <w:r w:rsidRPr="007052A6">
        <w:rPr>
          <w:sz w:val="22"/>
        </w:rPr>
        <w:t xml:space="preserve">, and identified benzophenone as a </w:t>
      </w:r>
      <w:r w:rsidRPr="007052A6">
        <w:rPr>
          <w:rStyle w:val="Strong"/>
          <w:sz w:val="22"/>
        </w:rPr>
        <w:t>cumulative risk contaminant</w:t>
      </w:r>
      <w:r w:rsidRPr="007052A6">
        <w:rPr>
          <w:sz w:val="22"/>
        </w:rPr>
        <w:t xml:space="preserve"> across multiple product categories.</w:t>
      </w:r>
    </w:p>
    <w:p w14:paraId="308F13C7" w14:textId="77777777" w:rsidR="006362AB" w:rsidRPr="007052A6" w:rsidRDefault="006362AB" w:rsidP="0013089E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sz w:val="22"/>
        </w:rPr>
      </w:pPr>
      <w:r w:rsidRPr="007052A6">
        <w:rPr>
          <w:sz w:val="22"/>
        </w:rPr>
        <w:t xml:space="preserve">The </w:t>
      </w:r>
      <w:r w:rsidRPr="007052A6">
        <w:rPr>
          <w:rStyle w:val="Strong"/>
          <w:sz w:val="22"/>
        </w:rPr>
        <w:t>IARC (2013)</w:t>
      </w:r>
      <w:r w:rsidRPr="007052A6">
        <w:rPr>
          <w:sz w:val="22"/>
        </w:rPr>
        <w:t xml:space="preserve"> classified benzophenone as a </w:t>
      </w:r>
      <w:r w:rsidRPr="007052A6">
        <w:rPr>
          <w:rStyle w:val="Strong"/>
          <w:sz w:val="22"/>
        </w:rPr>
        <w:t>Group 2B carcinogen</w:t>
      </w:r>
      <w:r w:rsidRPr="007052A6">
        <w:rPr>
          <w:sz w:val="22"/>
        </w:rPr>
        <w:t xml:space="preserve"> based on sufficient evidence in animals.</w:t>
      </w:r>
    </w:p>
    <w:p w14:paraId="7BF69287" w14:textId="77777777" w:rsidR="006362AB" w:rsidRDefault="006362AB" w:rsidP="006362AB"/>
    <w:p w14:paraId="3D60520F" w14:textId="77777777" w:rsidR="006362AB" w:rsidRDefault="006362AB" w:rsidP="006362AB">
      <w:r>
        <w:t xml:space="preserve">Although benzophenone has not consistently triggered strong positive results in standard Ames tests, this does not preclude its </w:t>
      </w:r>
      <w:r>
        <w:rPr>
          <w:rStyle w:val="Strong"/>
        </w:rPr>
        <w:t>genotoxic potential</w:t>
      </w:r>
      <w:r>
        <w:t xml:space="preserve">. Its hazard profile is closely linked to its role as a </w:t>
      </w:r>
      <w:r>
        <w:rPr>
          <w:rStyle w:val="Strong"/>
        </w:rPr>
        <w:t>photosensitiser</w:t>
      </w:r>
      <w:r>
        <w:t xml:space="preserve">, meaning that DNA damage is significantly enhanced under </w:t>
      </w:r>
      <w:r>
        <w:rPr>
          <w:rStyle w:val="Strong"/>
        </w:rPr>
        <w:t>UVA exposure conditions</w:t>
      </w:r>
      <w:r>
        <w:t xml:space="preserve"> (</w:t>
      </w:r>
      <w:proofErr w:type="spellStart"/>
      <w:r>
        <w:t>Cuquerella</w:t>
      </w:r>
      <w:proofErr w:type="spellEnd"/>
      <w:r>
        <w:t xml:space="preserve"> et al., 2012). Conventional Ames assays — whether plate-based or miniaturized — are typically conducted </w:t>
      </w:r>
      <w:r>
        <w:rPr>
          <w:rStyle w:val="Strong"/>
        </w:rPr>
        <w:t>without light activation</w:t>
      </w:r>
      <w:r>
        <w:t>, potentially underestimating mutagenic risk for photo-reactive compounds.</w:t>
      </w:r>
    </w:p>
    <w:p w14:paraId="3338DD98" w14:textId="77777777" w:rsidR="006362AB" w:rsidRDefault="006362AB" w:rsidP="006362AB">
      <w:pPr>
        <w:rPr>
          <w:rStyle w:val="Strong"/>
        </w:rPr>
      </w:pPr>
    </w:p>
    <w:p w14:paraId="2799E963" w14:textId="77777777" w:rsidR="006362AB" w:rsidRDefault="006362AB" w:rsidP="006362AB">
      <w:r>
        <w:rPr>
          <w:rStyle w:val="Strong"/>
        </w:rPr>
        <w:t>In vitro</w:t>
      </w:r>
      <w:r>
        <w:t xml:space="preserve"> studies using </w:t>
      </w:r>
      <w:r>
        <w:rPr>
          <w:rStyle w:val="Strong"/>
        </w:rPr>
        <w:t>UV-irradiated comet assays</w:t>
      </w:r>
      <w:r>
        <w:t xml:space="preserve"> and oxidative stress markers have demonstrated that benzophenone can cause </w:t>
      </w:r>
      <w:r>
        <w:rPr>
          <w:rStyle w:val="Strong"/>
        </w:rPr>
        <w:t>DNA strand breaks, oxidative lesions, and protein–DNA crosslinks</w:t>
      </w:r>
      <w:r>
        <w:t xml:space="preserve"> in the presence of light — mechanisms that are not adequately detected in bacterial mutation assays alone (</w:t>
      </w:r>
      <w:proofErr w:type="spellStart"/>
      <w:r>
        <w:t>Cuquerella</w:t>
      </w:r>
      <w:proofErr w:type="spellEnd"/>
      <w:r>
        <w:t xml:space="preserve"> et al., 2012; Bernard et al., 2012). As such, regulatory conclusions relying solely on bacterial mutagenicity data may </w:t>
      </w:r>
      <w:r>
        <w:rPr>
          <w:rStyle w:val="Strong"/>
        </w:rPr>
        <w:t>fail to capture clinically relevant genotoxic pathways</w:t>
      </w:r>
      <w:r>
        <w:t>, particularly those active under real-world sunscreen use on sun-exposed skin.</w:t>
      </w:r>
    </w:p>
    <w:p w14:paraId="569B3449" w14:textId="77777777" w:rsidR="006362AB" w:rsidRDefault="006362AB" w:rsidP="006362AB"/>
    <w:p w14:paraId="1B31ACA3" w14:textId="77777777" w:rsidR="006362AB" w:rsidRPr="007052A6" w:rsidRDefault="006362AB" w:rsidP="006362AB">
      <w:pPr>
        <w:rPr>
          <w:color w:val="00B050"/>
          <w:u w:val="single"/>
        </w:rPr>
      </w:pPr>
      <w:r w:rsidRPr="007052A6">
        <w:rPr>
          <w:rStyle w:val="Strong"/>
          <w:bCs w:val="0"/>
          <w:color w:val="00B050"/>
          <w:u w:val="single"/>
        </w:rPr>
        <w:t>Impurity vs. Ingredient: No Justification for Leniency</w:t>
      </w:r>
    </w:p>
    <w:p w14:paraId="5BB8B411" w14:textId="77777777" w:rsidR="006362AB" w:rsidRPr="007052A6" w:rsidRDefault="006362AB" w:rsidP="006362AB">
      <w:pPr>
        <w:pStyle w:val="NormalWeb"/>
        <w:spacing w:before="0" w:beforeAutospacing="0" w:after="0" w:afterAutospacing="0" w:line="360" w:lineRule="auto"/>
        <w:rPr>
          <w:sz w:val="22"/>
        </w:rPr>
      </w:pPr>
      <w:r w:rsidRPr="007052A6">
        <w:rPr>
          <w:sz w:val="22"/>
        </w:rPr>
        <w:t xml:space="preserve">Recent studies confirm that benzophenone can </w:t>
      </w:r>
      <w:r w:rsidRPr="007052A6">
        <w:rPr>
          <w:rStyle w:val="Strong"/>
          <w:sz w:val="22"/>
        </w:rPr>
        <w:t>accumulate during storage</w:t>
      </w:r>
      <w:r w:rsidRPr="007052A6">
        <w:rPr>
          <w:sz w:val="22"/>
        </w:rPr>
        <w:t>, particularly in octocrylene-containing sunscreens:</w:t>
      </w:r>
    </w:p>
    <w:p w14:paraId="57E0DB9F" w14:textId="77777777" w:rsidR="006362AB" w:rsidRPr="007052A6" w:rsidRDefault="006362AB" w:rsidP="0013089E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ind w:left="714" w:hanging="357"/>
        <w:rPr>
          <w:sz w:val="22"/>
        </w:rPr>
      </w:pPr>
      <w:r w:rsidRPr="007052A6">
        <w:rPr>
          <w:sz w:val="22"/>
        </w:rPr>
        <w:t xml:space="preserve">Downs &amp; DiNardo (2022) demonstrated that benzophenone levels reached </w:t>
      </w:r>
      <w:r w:rsidRPr="007052A6">
        <w:rPr>
          <w:rStyle w:val="Strong"/>
          <w:sz w:val="22"/>
        </w:rPr>
        <w:t>&gt;100 ppm</w:t>
      </w:r>
      <w:r w:rsidRPr="007052A6">
        <w:rPr>
          <w:sz w:val="22"/>
        </w:rPr>
        <w:t xml:space="preserve"> in commercial sunscreens after thermal aging.</w:t>
      </w:r>
    </w:p>
    <w:p w14:paraId="68564EBB" w14:textId="77777777" w:rsidR="006362AB" w:rsidRPr="007052A6" w:rsidRDefault="006362AB" w:rsidP="0013089E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ind w:left="714" w:hanging="357"/>
        <w:rPr>
          <w:sz w:val="22"/>
          <w:szCs w:val="22"/>
        </w:rPr>
      </w:pPr>
      <w:r w:rsidRPr="007052A6">
        <w:rPr>
          <w:sz w:val="22"/>
          <w:szCs w:val="22"/>
        </w:rPr>
        <w:t xml:space="preserve">Degradation accelerates under </w:t>
      </w:r>
      <w:r w:rsidRPr="007052A6">
        <w:rPr>
          <w:rStyle w:val="Strong"/>
          <w:sz w:val="22"/>
          <w:szCs w:val="22"/>
        </w:rPr>
        <w:t>UV exposure and high ambient temperature</w:t>
      </w:r>
      <w:r w:rsidRPr="007052A6">
        <w:rPr>
          <w:sz w:val="22"/>
          <w:szCs w:val="22"/>
        </w:rPr>
        <w:t xml:space="preserve"> — both common in Australian retail and household storage environments.</w:t>
      </w:r>
    </w:p>
    <w:p w14:paraId="52175252" w14:textId="77777777" w:rsidR="006362AB" w:rsidRDefault="006362AB" w:rsidP="0013089E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ind w:left="714" w:hanging="357"/>
        <w:rPr>
          <w:sz w:val="22"/>
          <w:szCs w:val="22"/>
        </w:rPr>
      </w:pPr>
      <w:r w:rsidRPr="007052A6">
        <w:rPr>
          <w:sz w:val="22"/>
          <w:szCs w:val="22"/>
        </w:rPr>
        <w:t xml:space="preserve">Even if products are formulated below 383 ppm at batch release, they may </w:t>
      </w:r>
      <w:r w:rsidRPr="007052A6">
        <w:rPr>
          <w:rStyle w:val="Strong"/>
          <w:sz w:val="22"/>
          <w:szCs w:val="22"/>
        </w:rPr>
        <w:t>exceed regulatory limits before expiry</w:t>
      </w:r>
      <w:r w:rsidRPr="007052A6">
        <w:rPr>
          <w:sz w:val="22"/>
          <w:szCs w:val="22"/>
        </w:rPr>
        <w:t>, leading to uncontrolled public exposure.</w:t>
      </w:r>
    </w:p>
    <w:p w14:paraId="63BDED54" w14:textId="77777777" w:rsidR="006362AB" w:rsidRPr="007052A6" w:rsidRDefault="006362AB" w:rsidP="0013089E">
      <w:pPr>
        <w:pStyle w:val="ListParagraph"/>
        <w:numPr>
          <w:ilvl w:val="0"/>
          <w:numId w:val="20"/>
        </w:numPr>
      </w:pPr>
      <w:r>
        <w:t xml:space="preserve">Accelerated stability studies show that octocrylene-based sunscreens stored at 40 °C for 6 months can exceed this level — putting products </w:t>
      </w:r>
      <w:r>
        <w:rPr>
          <w:rStyle w:val="Strong"/>
        </w:rPr>
        <w:t xml:space="preserve">out of spec after time </w:t>
      </w:r>
      <w:r>
        <w:t>(</w:t>
      </w:r>
      <w:proofErr w:type="spellStart"/>
      <w:r>
        <w:t>Labs_Benzophenone</w:t>
      </w:r>
      <w:proofErr w:type="spellEnd"/>
      <w:r>
        <w:t xml:space="preserve"> Report, 2025).</w:t>
      </w:r>
    </w:p>
    <w:p w14:paraId="08468BAE" w14:textId="77777777" w:rsidR="006362AB" w:rsidRPr="007052A6" w:rsidRDefault="006362AB" w:rsidP="006362AB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7052A6">
        <w:rPr>
          <w:sz w:val="22"/>
          <w:szCs w:val="22"/>
        </w:rPr>
        <w:lastRenderedPageBreak/>
        <w:t xml:space="preserve">Allowing benzophenone as a “trace degradant” opens a regulatory loophole with </w:t>
      </w:r>
      <w:r w:rsidRPr="007052A6">
        <w:rPr>
          <w:rStyle w:val="Strong"/>
          <w:sz w:val="22"/>
          <w:szCs w:val="22"/>
        </w:rPr>
        <w:t>no enforceable way to guarantee safety at time of use</w:t>
      </w:r>
      <w:r w:rsidRPr="007052A6">
        <w:rPr>
          <w:sz w:val="22"/>
          <w:szCs w:val="22"/>
        </w:rPr>
        <w:t>.</w:t>
      </w:r>
    </w:p>
    <w:p w14:paraId="156955B9" w14:textId="77777777" w:rsidR="006362AB" w:rsidRPr="007052A6" w:rsidRDefault="006362AB" w:rsidP="006362AB">
      <w:pPr>
        <w:pStyle w:val="ListParagraph"/>
        <w:numPr>
          <w:ilvl w:val="0"/>
          <w:numId w:val="14"/>
        </w:numPr>
        <w:rPr>
          <w:szCs w:val="22"/>
        </w:rPr>
      </w:pPr>
      <w:r w:rsidRPr="007052A6">
        <w:rPr>
          <w:szCs w:val="22"/>
        </w:rPr>
        <w:t xml:space="preserve">The </w:t>
      </w:r>
      <w:r w:rsidRPr="007052A6">
        <w:rPr>
          <w:rStyle w:val="Strong"/>
          <w:szCs w:val="22"/>
        </w:rPr>
        <w:t>source of benzophenone — as a degradation product of octocrylene — does not reduce its toxicological impact</w:t>
      </w:r>
      <w:r w:rsidRPr="007052A6">
        <w:rPr>
          <w:szCs w:val="22"/>
        </w:rPr>
        <w:t>.</w:t>
      </w:r>
    </w:p>
    <w:p w14:paraId="050A66F0" w14:textId="77777777" w:rsidR="006362AB" w:rsidRPr="007052A6" w:rsidRDefault="006362AB" w:rsidP="006362AB">
      <w:pPr>
        <w:pStyle w:val="ListParagraph"/>
        <w:numPr>
          <w:ilvl w:val="0"/>
          <w:numId w:val="14"/>
        </w:numPr>
        <w:rPr>
          <w:szCs w:val="22"/>
        </w:rPr>
      </w:pPr>
      <w:r w:rsidRPr="007052A6">
        <w:rPr>
          <w:szCs w:val="22"/>
        </w:rPr>
        <w:t xml:space="preserve">Whether added intentionally or formed through UV breakdown, the </w:t>
      </w:r>
      <w:r w:rsidRPr="007052A6">
        <w:rPr>
          <w:rStyle w:val="Strong"/>
          <w:szCs w:val="22"/>
        </w:rPr>
        <w:t>chemical structure and phototoxic profile remain the same</w:t>
      </w:r>
      <w:r w:rsidRPr="007052A6">
        <w:rPr>
          <w:szCs w:val="22"/>
        </w:rPr>
        <w:t>.</w:t>
      </w:r>
    </w:p>
    <w:p w14:paraId="7B1BB8A9" w14:textId="77777777" w:rsidR="006362AB" w:rsidRPr="007052A6" w:rsidRDefault="006362AB" w:rsidP="006362AB">
      <w:pPr>
        <w:pStyle w:val="ListParagraph"/>
        <w:numPr>
          <w:ilvl w:val="0"/>
          <w:numId w:val="14"/>
        </w:numPr>
        <w:rPr>
          <w:szCs w:val="22"/>
        </w:rPr>
      </w:pPr>
      <w:r w:rsidRPr="007052A6">
        <w:rPr>
          <w:szCs w:val="22"/>
        </w:rPr>
        <w:t xml:space="preserve">The </w:t>
      </w:r>
      <w:r w:rsidRPr="007052A6">
        <w:rPr>
          <w:rStyle w:val="Strong"/>
          <w:szCs w:val="22"/>
        </w:rPr>
        <w:t>EU has banned benzophenone outright</w:t>
      </w:r>
      <w:r w:rsidRPr="007052A6">
        <w:rPr>
          <w:szCs w:val="22"/>
        </w:rPr>
        <w:t xml:space="preserve"> in cosmetics (EU Regulation No. 1223/2009, Annex II), allowing only </w:t>
      </w:r>
      <w:r w:rsidRPr="007052A6">
        <w:rPr>
          <w:rStyle w:val="Strong"/>
          <w:szCs w:val="22"/>
        </w:rPr>
        <w:t>trace-level impurities</w:t>
      </w:r>
      <w:r w:rsidRPr="007052A6">
        <w:rPr>
          <w:szCs w:val="22"/>
        </w:rPr>
        <w:t xml:space="preserve"> from octocrylene breakdown.</w:t>
      </w:r>
    </w:p>
    <w:p w14:paraId="7188236D" w14:textId="77777777" w:rsidR="006362AB" w:rsidRPr="00CF3ED8" w:rsidRDefault="006362AB" w:rsidP="006362AB">
      <w:pPr>
        <w:rPr>
          <w:b/>
          <w:color w:val="00B050"/>
          <w:u w:val="single"/>
        </w:rPr>
      </w:pPr>
      <w:r w:rsidRPr="00CF3ED8">
        <w:rPr>
          <w:b/>
          <w:color w:val="00B050"/>
          <w:u w:val="single"/>
        </w:rPr>
        <w:t>Endocrine Disruption via Metabolites</w:t>
      </w:r>
    </w:p>
    <w:p w14:paraId="0EC40C81" w14:textId="77777777" w:rsidR="006362AB" w:rsidRPr="007052A6" w:rsidRDefault="006362AB" w:rsidP="006362A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052A6">
        <w:rPr>
          <w:sz w:val="22"/>
          <w:szCs w:val="22"/>
        </w:rPr>
        <w:t xml:space="preserve">Benzophenone undergoes enzymatic hydroxylation in humans and animals, forming </w:t>
      </w:r>
      <w:r w:rsidRPr="007052A6">
        <w:rPr>
          <w:rStyle w:val="Strong"/>
          <w:sz w:val="22"/>
          <w:szCs w:val="22"/>
        </w:rPr>
        <w:t>4-hydroxybenzophenone</w:t>
      </w:r>
      <w:r w:rsidRPr="007052A6">
        <w:rPr>
          <w:sz w:val="22"/>
          <w:szCs w:val="22"/>
        </w:rPr>
        <w:t xml:space="preserve"> — a potent </w:t>
      </w:r>
      <w:r w:rsidRPr="007052A6">
        <w:rPr>
          <w:rStyle w:val="Strong"/>
          <w:sz w:val="22"/>
          <w:szCs w:val="22"/>
        </w:rPr>
        <w:t>estrogen mimic</w:t>
      </w:r>
      <w:r w:rsidRPr="007052A6">
        <w:rPr>
          <w:sz w:val="22"/>
          <w:szCs w:val="22"/>
        </w:rPr>
        <w:t>:</w:t>
      </w:r>
    </w:p>
    <w:p w14:paraId="122066BD" w14:textId="77777777" w:rsidR="006362AB" w:rsidRPr="007052A6" w:rsidRDefault="006362AB" w:rsidP="0013089E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052A6">
        <w:rPr>
          <w:sz w:val="22"/>
          <w:szCs w:val="22"/>
        </w:rPr>
        <w:t xml:space="preserve">Animal studies show </w:t>
      </w:r>
      <w:r w:rsidRPr="007052A6">
        <w:rPr>
          <w:rStyle w:val="Strong"/>
          <w:sz w:val="22"/>
          <w:szCs w:val="22"/>
        </w:rPr>
        <w:t>ut</w:t>
      </w:r>
      <w:bookmarkStart w:id="5" w:name="_GoBack"/>
      <w:bookmarkEnd w:id="5"/>
      <w:r w:rsidRPr="007052A6">
        <w:rPr>
          <w:rStyle w:val="Strong"/>
          <w:sz w:val="22"/>
          <w:szCs w:val="22"/>
        </w:rPr>
        <w:t>erine hypertrophy, vaginal cornification, and reduced bone mass</w:t>
      </w:r>
      <w:r w:rsidRPr="007052A6">
        <w:rPr>
          <w:sz w:val="22"/>
          <w:szCs w:val="22"/>
        </w:rPr>
        <w:t xml:space="preserve"> after exposure (Cheng et al., 2002; </w:t>
      </w:r>
      <w:proofErr w:type="spellStart"/>
      <w:r w:rsidRPr="007052A6">
        <w:rPr>
          <w:sz w:val="22"/>
          <w:szCs w:val="22"/>
        </w:rPr>
        <w:t>Seidlova-Wuttke</w:t>
      </w:r>
      <w:proofErr w:type="spellEnd"/>
      <w:r w:rsidRPr="007052A6">
        <w:rPr>
          <w:sz w:val="22"/>
          <w:szCs w:val="22"/>
        </w:rPr>
        <w:t xml:space="preserve"> et al., 2006)</w:t>
      </w:r>
    </w:p>
    <w:p w14:paraId="00122B25" w14:textId="77777777" w:rsidR="006362AB" w:rsidRPr="007052A6" w:rsidRDefault="006362AB" w:rsidP="0013089E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052A6">
        <w:rPr>
          <w:sz w:val="22"/>
          <w:szCs w:val="22"/>
        </w:rPr>
        <w:t xml:space="preserve">These effects occur </w:t>
      </w:r>
      <w:r w:rsidRPr="007052A6">
        <w:rPr>
          <w:rStyle w:val="Strong"/>
          <w:sz w:val="22"/>
          <w:szCs w:val="22"/>
        </w:rPr>
        <w:t>at low doses</w:t>
      </w:r>
      <w:r w:rsidRPr="007052A6">
        <w:rPr>
          <w:sz w:val="22"/>
          <w:szCs w:val="22"/>
        </w:rPr>
        <w:t xml:space="preserve"> and persist chronically, affecting reproductive and endocrine health</w:t>
      </w:r>
    </w:p>
    <w:p w14:paraId="540DCCAF" w14:textId="77777777" w:rsidR="006362AB" w:rsidRPr="007052A6" w:rsidRDefault="006362AB" w:rsidP="0013089E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052A6">
        <w:rPr>
          <w:sz w:val="22"/>
          <w:szCs w:val="22"/>
        </w:rPr>
        <w:t>Breast milk and placental transfer have also been confirmed in biomonitoring studies</w:t>
      </w:r>
    </w:p>
    <w:p w14:paraId="30722FCA" w14:textId="77777777" w:rsidR="006362AB" w:rsidRPr="007052A6" w:rsidRDefault="006362AB" w:rsidP="006362A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052A6">
        <w:rPr>
          <w:sz w:val="22"/>
          <w:szCs w:val="22"/>
        </w:rPr>
        <w:t xml:space="preserve">This qualifies benzophenone as a </w:t>
      </w:r>
      <w:r w:rsidRPr="007052A6">
        <w:rPr>
          <w:rStyle w:val="Strong"/>
          <w:sz w:val="22"/>
          <w:szCs w:val="22"/>
        </w:rPr>
        <w:t>multi-modal endocrine disruptor</w:t>
      </w:r>
      <w:r w:rsidRPr="007052A6">
        <w:rPr>
          <w:sz w:val="22"/>
          <w:szCs w:val="22"/>
        </w:rPr>
        <w:t>, not just a mutagen.</w:t>
      </w:r>
    </w:p>
    <w:p w14:paraId="27A0342C" w14:textId="77777777" w:rsidR="006362AB" w:rsidRDefault="006362AB" w:rsidP="006362AB"/>
    <w:p w14:paraId="47FE4304" w14:textId="77777777" w:rsidR="006362AB" w:rsidRPr="002443BC" w:rsidRDefault="006362AB" w:rsidP="006362AB">
      <w:pPr>
        <w:rPr>
          <w:color w:val="00B050"/>
          <w:sz w:val="24"/>
          <w:u w:val="single"/>
        </w:rPr>
      </w:pPr>
      <w:r w:rsidRPr="002443BC">
        <w:rPr>
          <w:rStyle w:val="Strong"/>
          <w:bCs w:val="0"/>
          <w:color w:val="00B050"/>
          <w:sz w:val="24"/>
          <w:u w:val="single"/>
        </w:rPr>
        <w:t>International Alignment and Cumulative Risk</w:t>
      </w:r>
    </w:p>
    <w:p w14:paraId="005DD1CA" w14:textId="77777777" w:rsidR="006362AB" w:rsidRPr="007052A6" w:rsidRDefault="006362AB" w:rsidP="006362AB">
      <w:pPr>
        <w:pStyle w:val="ListParagraph"/>
        <w:numPr>
          <w:ilvl w:val="0"/>
          <w:numId w:val="15"/>
        </w:numPr>
        <w:rPr>
          <w:szCs w:val="22"/>
        </w:rPr>
      </w:pPr>
      <w:r w:rsidRPr="007052A6">
        <w:rPr>
          <w:rStyle w:val="Strong"/>
          <w:szCs w:val="22"/>
        </w:rPr>
        <w:t>California Proposition 65</w:t>
      </w:r>
      <w:r w:rsidRPr="007052A6">
        <w:rPr>
          <w:szCs w:val="22"/>
        </w:rPr>
        <w:t xml:space="preserve"> lists benzophenone as a </w:t>
      </w:r>
      <w:r w:rsidRPr="007052A6">
        <w:rPr>
          <w:rStyle w:val="Strong"/>
          <w:szCs w:val="22"/>
        </w:rPr>
        <w:t>known carcinogen and reproductive toxicant</w:t>
      </w:r>
      <w:r w:rsidRPr="007052A6">
        <w:rPr>
          <w:szCs w:val="22"/>
        </w:rPr>
        <w:t>.</w:t>
      </w:r>
    </w:p>
    <w:p w14:paraId="2A45E3FD" w14:textId="77777777" w:rsidR="006362AB" w:rsidRPr="007052A6" w:rsidRDefault="006362AB" w:rsidP="006362AB">
      <w:pPr>
        <w:pStyle w:val="ListParagraph"/>
        <w:numPr>
          <w:ilvl w:val="0"/>
          <w:numId w:val="15"/>
        </w:numPr>
        <w:rPr>
          <w:szCs w:val="22"/>
        </w:rPr>
      </w:pPr>
      <w:r w:rsidRPr="007052A6">
        <w:rPr>
          <w:rStyle w:val="Strong"/>
          <w:szCs w:val="22"/>
        </w:rPr>
        <w:t>EFSA</w:t>
      </w:r>
      <w:r w:rsidRPr="007052A6">
        <w:rPr>
          <w:szCs w:val="22"/>
        </w:rPr>
        <w:t xml:space="preserve"> and </w:t>
      </w:r>
      <w:r w:rsidRPr="007052A6">
        <w:rPr>
          <w:rStyle w:val="Strong"/>
          <w:szCs w:val="22"/>
        </w:rPr>
        <w:t>AICIS</w:t>
      </w:r>
      <w:r w:rsidRPr="007052A6">
        <w:rPr>
          <w:szCs w:val="22"/>
        </w:rPr>
        <w:t xml:space="preserve"> both cite benzophenone’s potential for </w:t>
      </w:r>
      <w:r w:rsidRPr="007052A6">
        <w:rPr>
          <w:rStyle w:val="Strong"/>
          <w:szCs w:val="22"/>
        </w:rPr>
        <w:t>long-term systemic harm</w:t>
      </w:r>
      <w:r w:rsidRPr="007052A6">
        <w:rPr>
          <w:szCs w:val="22"/>
        </w:rPr>
        <w:t>.</w:t>
      </w:r>
    </w:p>
    <w:p w14:paraId="56481DD4" w14:textId="77777777" w:rsidR="006362AB" w:rsidRPr="007052A6" w:rsidRDefault="006362AB" w:rsidP="006362AB">
      <w:pPr>
        <w:pStyle w:val="ListParagraph"/>
        <w:numPr>
          <w:ilvl w:val="0"/>
          <w:numId w:val="15"/>
        </w:numPr>
        <w:rPr>
          <w:szCs w:val="22"/>
        </w:rPr>
      </w:pPr>
      <w:r w:rsidRPr="007052A6">
        <w:rPr>
          <w:szCs w:val="22"/>
        </w:rPr>
        <w:t xml:space="preserve">The </w:t>
      </w:r>
      <w:r w:rsidRPr="007052A6">
        <w:rPr>
          <w:rStyle w:val="Strong"/>
          <w:szCs w:val="22"/>
        </w:rPr>
        <w:t>ASEAN Cosmetic Directive</w:t>
      </w:r>
      <w:r w:rsidRPr="007052A6">
        <w:rPr>
          <w:szCs w:val="22"/>
        </w:rPr>
        <w:t xml:space="preserve">, </w:t>
      </w:r>
      <w:r w:rsidRPr="007052A6">
        <w:rPr>
          <w:rStyle w:val="Strong"/>
          <w:szCs w:val="22"/>
        </w:rPr>
        <w:t>New Zealand</w:t>
      </w:r>
      <w:r w:rsidRPr="007052A6">
        <w:rPr>
          <w:szCs w:val="22"/>
        </w:rPr>
        <w:t xml:space="preserve">, and the </w:t>
      </w:r>
      <w:r w:rsidRPr="007052A6">
        <w:rPr>
          <w:rStyle w:val="Strong"/>
          <w:szCs w:val="22"/>
        </w:rPr>
        <w:t>EU</w:t>
      </w:r>
      <w:r w:rsidRPr="007052A6">
        <w:rPr>
          <w:szCs w:val="22"/>
        </w:rPr>
        <w:t xml:space="preserve"> require benzophenone to be </w:t>
      </w:r>
      <w:r w:rsidRPr="007052A6">
        <w:rPr>
          <w:rStyle w:val="Strong"/>
          <w:szCs w:val="22"/>
        </w:rPr>
        <w:t>kept at trace levels only</w:t>
      </w:r>
      <w:r w:rsidRPr="007052A6">
        <w:rPr>
          <w:szCs w:val="22"/>
        </w:rPr>
        <w:t xml:space="preserve"> and not used as a fragrance or UV filter.</w:t>
      </w:r>
    </w:p>
    <w:p w14:paraId="27AD29BB" w14:textId="77777777" w:rsidR="006362AB" w:rsidRPr="007052A6" w:rsidRDefault="006362AB" w:rsidP="006362AB">
      <w:pPr>
        <w:pStyle w:val="ListParagraph"/>
        <w:numPr>
          <w:ilvl w:val="0"/>
          <w:numId w:val="15"/>
        </w:numPr>
        <w:jc w:val="left"/>
        <w:rPr>
          <w:szCs w:val="22"/>
        </w:rPr>
      </w:pPr>
      <w:r w:rsidRPr="007052A6">
        <w:rPr>
          <w:b/>
          <w:bCs/>
          <w:szCs w:val="22"/>
        </w:rPr>
        <w:t>European Union (Reg. 1223/2009, Annex II):</w:t>
      </w:r>
      <w:r w:rsidRPr="007052A6">
        <w:rPr>
          <w:szCs w:val="22"/>
        </w:rPr>
        <w:t xml:space="preserve"> Banned as a cosmetic ingredient</w:t>
      </w:r>
    </w:p>
    <w:p w14:paraId="3926AAFF" w14:textId="77777777" w:rsidR="006362AB" w:rsidRPr="007052A6" w:rsidRDefault="006362AB" w:rsidP="006362AB">
      <w:pPr>
        <w:pStyle w:val="ListParagraph"/>
        <w:numPr>
          <w:ilvl w:val="0"/>
          <w:numId w:val="15"/>
        </w:numPr>
        <w:jc w:val="left"/>
        <w:rPr>
          <w:szCs w:val="22"/>
        </w:rPr>
      </w:pPr>
      <w:r w:rsidRPr="007052A6">
        <w:rPr>
          <w:b/>
          <w:bCs/>
          <w:szCs w:val="22"/>
        </w:rPr>
        <w:t>SCCS (202</w:t>
      </w:r>
      <w:r>
        <w:rPr>
          <w:b/>
          <w:bCs/>
          <w:szCs w:val="22"/>
        </w:rPr>
        <w:t>1</w:t>
      </w:r>
      <w:r w:rsidRPr="007052A6">
        <w:rPr>
          <w:b/>
          <w:bCs/>
          <w:szCs w:val="22"/>
        </w:rPr>
        <w:t>)</w:t>
      </w:r>
      <w:r w:rsidRPr="007052A6">
        <w:rPr>
          <w:szCs w:val="22"/>
        </w:rPr>
        <w:t xml:space="preserve">: Reaffirmed that </w:t>
      </w:r>
      <w:r w:rsidRPr="007052A6">
        <w:rPr>
          <w:b/>
          <w:bCs/>
          <w:szCs w:val="22"/>
        </w:rPr>
        <w:t>genotoxicity is not adequately addressed</w:t>
      </w:r>
      <w:r w:rsidRPr="007052A6">
        <w:rPr>
          <w:szCs w:val="22"/>
        </w:rPr>
        <w:t xml:space="preserve"> under standard assays, and that impurity levels must be </w:t>
      </w:r>
      <w:r w:rsidRPr="007052A6">
        <w:rPr>
          <w:b/>
          <w:bCs/>
          <w:szCs w:val="22"/>
        </w:rPr>
        <w:t>minimised</w:t>
      </w:r>
      <w:r w:rsidRPr="007052A6">
        <w:rPr>
          <w:szCs w:val="22"/>
        </w:rPr>
        <w:t xml:space="preserve"> to reduce consumer risk</w:t>
      </w:r>
    </w:p>
    <w:p w14:paraId="1B7ADE18" w14:textId="77777777" w:rsidR="006362AB" w:rsidRPr="007052A6" w:rsidRDefault="006362AB" w:rsidP="006362AB">
      <w:pPr>
        <w:rPr>
          <w:b/>
          <w:color w:val="00B050"/>
          <w:sz w:val="24"/>
          <w:szCs w:val="27"/>
          <w:u w:val="single"/>
        </w:rPr>
      </w:pPr>
      <w:r w:rsidRPr="007052A6">
        <w:rPr>
          <w:b/>
          <w:color w:val="00B050"/>
          <w:sz w:val="24"/>
          <w:u w:val="single"/>
        </w:rPr>
        <w:t>Impurity ≠ Innocuous</w:t>
      </w:r>
    </w:p>
    <w:p w14:paraId="53A6EFF2" w14:textId="77777777" w:rsidR="006362AB" w:rsidRPr="00490A70" w:rsidRDefault="006362AB" w:rsidP="0013089E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ind w:left="714" w:hanging="357"/>
        <w:rPr>
          <w:sz w:val="22"/>
        </w:rPr>
      </w:pPr>
      <w:r w:rsidRPr="00490A70">
        <w:rPr>
          <w:sz w:val="22"/>
        </w:rPr>
        <w:t xml:space="preserve">Whether </w:t>
      </w:r>
      <w:r w:rsidRPr="00490A70">
        <w:rPr>
          <w:rStyle w:val="Strong"/>
          <w:sz w:val="22"/>
        </w:rPr>
        <w:t>intentionally added or formed via degradation</w:t>
      </w:r>
      <w:r w:rsidRPr="00490A70">
        <w:rPr>
          <w:sz w:val="22"/>
        </w:rPr>
        <w:t xml:space="preserve">, benzophenone’s </w:t>
      </w:r>
      <w:r w:rsidRPr="00490A70">
        <w:rPr>
          <w:rStyle w:val="Strong"/>
          <w:sz w:val="22"/>
        </w:rPr>
        <w:t>structure and hazard profile remain unchanged</w:t>
      </w:r>
    </w:p>
    <w:p w14:paraId="464FFDB7" w14:textId="77777777" w:rsidR="006362AB" w:rsidRPr="00490A70" w:rsidRDefault="006362AB" w:rsidP="0013089E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ind w:left="714" w:hanging="357"/>
        <w:rPr>
          <w:sz w:val="22"/>
        </w:rPr>
      </w:pPr>
      <w:r w:rsidRPr="00490A70">
        <w:rPr>
          <w:sz w:val="22"/>
        </w:rPr>
        <w:t xml:space="preserve">The </w:t>
      </w:r>
      <w:r w:rsidRPr="00490A70">
        <w:rPr>
          <w:rStyle w:val="Strong"/>
          <w:sz w:val="22"/>
        </w:rPr>
        <w:t>origin of the molecule does not alter its risk</w:t>
      </w:r>
      <w:r w:rsidRPr="00490A70">
        <w:rPr>
          <w:sz w:val="22"/>
        </w:rPr>
        <w:t xml:space="preserve"> to human or environmental health</w:t>
      </w:r>
    </w:p>
    <w:p w14:paraId="05C5376A" w14:textId="77777777" w:rsidR="006362AB" w:rsidRPr="00490A70" w:rsidRDefault="006362AB" w:rsidP="0013089E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ind w:left="714" w:hanging="357"/>
        <w:rPr>
          <w:sz w:val="22"/>
        </w:rPr>
      </w:pPr>
      <w:r w:rsidRPr="00490A70">
        <w:rPr>
          <w:sz w:val="22"/>
        </w:rPr>
        <w:t>No existing test method ensures stability at &lt;383 ppm throughout shelf-life and real-world use</w:t>
      </w:r>
    </w:p>
    <w:p w14:paraId="79EBA07E" w14:textId="77777777" w:rsidR="006362AB" w:rsidRPr="004C0CF0" w:rsidRDefault="006362AB" w:rsidP="006362AB">
      <w:pPr>
        <w:rPr>
          <w:sz w:val="24"/>
        </w:rPr>
      </w:pPr>
    </w:p>
    <w:p w14:paraId="5F78EA72" w14:textId="5796CC8A" w:rsidR="006362AB" w:rsidRPr="002443BC" w:rsidRDefault="006362AB" w:rsidP="006362AB">
      <w:pPr>
        <w:rPr>
          <w:color w:val="00B050"/>
          <w:sz w:val="24"/>
        </w:rPr>
      </w:pPr>
      <w:r w:rsidRPr="002443BC">
        <w:rPr>
          <w:rStyle w:val="Strong"/>
          <w:bCs w:val="0"/>
          <w:color w:val="00B050"/>
          <w:sz w:val="24"/>
        </w:rPr>
        <w:lastRenderedPageBreak/>
        <w:t>Clean Supply Chain and Alternative Readiness</w:t>
      </w:r>
    </w:p>
    <w:p w14:paraId="3CC70E2D" w14:textId="4C006AC1" w:rsidR="006362AB" w:rsidRPr="006362AB" w:rsidRDefault="006362AB" w:rsidP="006362AB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</w:rPr>
        <w:t xml:space="preserve">Many sunscreen </w:t>
      </w:r>
      <w:r w:rsidRPr="006362AB">
        <w:rPr>
          <w:sz w:val="22"/>
          <w:szCs w:val="22"/>
        </w:rPr>
        <w:t xml:space="preserve">companies like </w:t>
      </w:r>
      <w:proofErr w:type="spellStart"/>
      <w:r w:rsidRPr="006362AB">
        <w:rPr>
          <w:sz w:val="22"/>
          <w:szCs w:val="22"/>
        </w:rPr>
        <w:t>VeganicSKN</w:t>
      </w:r>
      <w:proofErr w:type="spellEnd"/>
      <w:r w:rsidRPr="006362AB">
        <w:rPr>
          <w:sz w:val="22"/>
          <w:szCs w:val="22"/>
        </w:rPr>
        <w:t xml:space="preserve"> Ltd </w:t>
      </w:r>
      <w:r w:rsidRPr="006362AB">
        <w:rPr>
          <w:rStyle w:val="Strong"/>
          <w:sz w:val="22"/>
          <w:szCs w:val="22"/>
        </w:rPr>
        <w:t>not use</w:t>
      </w:r>
      <w:r w:rsidRPr="006362AB">
        <w:rPr>
          <w:sz w:val="22"/>
          <w:szCs w:val="22"/>
        </w:rPr>
        <w:t xml:space="preserve"> benzophenone, octocrylene, or degradation-prone filters. </w:t>
      </w:r>
      <w:r>
        <w:rPr>
          <w:sz w:val="22"/>
          <w:szCs w:val="22"/>
        </w:rPr>
        <w:t xml:space="preserve">Their </w:t>
      </w:r>
      <w:r w:rsidRPr="006362AB">
        <w:rPr>
          <w:sz w:val="22"/>
          <w:szCs w:val="22"/>
        </w:rPr>
        <w:t>formulations are:</w:t>
      </w:r>
    </w:p>
    <w:p w14:paraId="3B77AA5E" w14:textId="77777777" w:rsidR="006362AB" w:rsidRPr="006362AB" w:rsidRDefault="006362AB" w:rsidP="0013089E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rPr>
          <w:sz w:val="22"/>
          <w:szCs w:val="22"/>
        </w:rPr>
      </w:pPr>
      <w:r w:rsidRPr="006362AB">
        <w:rPr>
          <w:sz w:val="22"/>
          <w:szCs w:val="22"/>
        </w:rPr>
        <w:t xml:space="preserve">Based entirely on </w:t>
      </w:r>
      <w:r w:rsidRPr="006362AB">
        <w:rPr>
          <w:rStyle w:val="Strong"/>
          <w:sz w:val="22"/>
          <w:szCs w:val="22"/>
        </w:rPr>
        <w:t>non-</w:t>
      </w:r>
      <w:proofErr w:type="spellStart"/>
      <w:r w:rsidRPr="006362AB">
        <w:rPr>
          <w:rStyle w:val="Strong"/>
          <w:sz w:val="22"/>
          <w:szCs w:val="22"/>
        </w:rPr>
        <w:t>nano</w:t>
      </w:r>
      <w:proofErr w:type="spellEnd"/>
      <w:r w:rsidRPr="006362AB">
        <w:rPr>
          <w:rStyle w:val="Strong"/>
          <w:sz w:val="22"/>
          <w:szCs w:val="22"/>
        </w:rPr>
        <w:t xml:space="preserve"> zinc oxide</w:t>
      </w:r>
      <w:r w:rsidRPr="006362AB">
        <w:rPr>
          <w:sz w:val="22"/>
          <w:szCs w:val="22"/>
        </w:rPr>
        <w:t xml:space="preserve">, a </w:t>
      </w:r>
      <w:r w:rsidRPr="006362AB">
        <w:rPr>
          <w:rStyle w:val="Strong"/>
          <w:sz w:val="22"/>
          <w:szCs w:val="22"/>
        </w:rPr>
        <w:t>photostable</w:t>
      </w:r>
      <w:r w:rsidRPr="006362AB">
        <w:rPr>
          <w:sz w:val="22"/>
          <w:szCs w:val="22"/>
        </w:rPr>
        <w:t xml:space="preserve">, </w:t>
      </w:r>
      <w:r w:rsidRPr="006362AB">
        <w:rPr>
          <w:rStyle w:val="Strong"/>
          <w:sz w:val="22"/>
          <w:szCs w:val="22"/>
        </w:rPr>
        <w:t>non-endocrine-active</w:t>
      </w:r>
      <w:r w:rsidRPr="006362AB">
        <w:rPr>
          <w:sz w:val="22"/>
          <w:szCs w:val="22"/>
        </w:rPr>
        <w:t xml:space="preserve">, and </w:t>
      </w:r>
      <w:r w:rsidRPr="006362AB">
        <w:rPr>
          <w:rStyle w:val="Strong"/>
          <w:sz w:val="22"/>
          <w:szCs w:val="22"/>
        </w:rPr>
        <w:t>globally recognised safe</w:t>
      </w:r>
      <w:r w:rsidRPr="006362AB">
        <w:rPr>
          <w:sz w:val="22"/>
          <w:szCs w:val="22"/>
        </w:rPr>
        <w:t xml:space="preserve"> mineral UV filter</w:t>
      </w:r>
    </w:p>
    <w:p w14:paraId="78CF9FB4" w14:textId="77777777" w:rsidR="006362AB" w:rsidRPr="00490A70" w:rsidRDefault="006362AB" w:rsidP="0013089E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rPr>
          <w:sz w:val="22"/>
        </w:rPr>
      </w:pPr>
      <w:r w:rsidRPr="006362AB">
        <w:rPr>
          <w:sz w:val="22"/>
          <w:szCs w:val="22"/>
        </w:rPr>
        <w:t xml:space="preserve">Produced in an </w:t>
      </w:r>
      <w:r w:rsidRPr="006362AB">
        <w:rPr>
          <w:rStyle w:val="Strong"/>
          <w:sz w:val="22"/>
          <w:szCs w:val="22"/>
        </w:rPr>
        <w:t>FDA-registered, GMP-aligned</w:t>
      </w:r>
      <w:r w:rsidRPr="00490A70">
        <w:rPr>
          <w:rStyle w:val="Strong"/>
          <w:sz w:val="22"/>
        </w:rPr>
        <w:t xml:space="preserve"> facility</w:t>
      </w:r>
      <w:r w:rsidRPr="00490A70">
        <w:rPr>
          <w:sz w:val="22"/>
        </w:rPr>
        <w:t>, fully validated to meet international batch release and stability standards</w:t>
      </w:r>
    </w:p>
    <w:p w14:paraId="502EA823" w14:textId="77777777" w:rsidR="006362AB" w:rsidRPr="00490A70" w:rsidRDefault="006362AB" w:rsidP="0013089E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rPr>
          <w:sz w:val="22"/>
        </w:rPr>
      </w:pPr>
      <w:r w:rsidRPr="00490A70">
        <w:rPr>
          <w:sz w:val="22"/>
        </w:rPr>
        <w:t xml:space="preserve">Already fully compliant with a </w:t>
      </w:r>
      <w:r w:rsidRPr="00490A70">
        <w:rPr>
          <w:rStyle w:val="Strong"/>
          <w:sz w:val="22"/>
        </w:rPr>
        <w:t>0% benzophenone policy</w:t>
      </w:r>
      <w:r w:rsidRPr="00490A70">
        <w:rPr>
          <w:sz w:val="22"/>
        </w:rPr>
        <w:t>, with robust impurity control systems in place</w:t>
      </w:r>
    </w:p>
    <w:p w14:paraId="28F52859" w14:textId="77777777" w:rsidR="006362AB" w:rsidRPr="00490A70" w:rsidRDefault="006362AB" w:rsidP="006362AB">
      <w:pPr>
        <w:pStyle w:val="NormalWeb"/>
        <w:spacing w:before="0" w:beforeAutospacing="0" w:after="0" w:afterAutospacing="0" w:line="360" w:lineRule="auto"/>
        <w:rPr>
          <w:sz w:val="22"/>
        </w:rPr>
      </w:pPr>
      <w:r w:rsidRPr="00490A70">
        <w:rPr>
          <w:sz w:val="22"/>
        </w:rPr>
        <w:t xml:space="preserve">There is no technical, economic, or public health justification for tolerating benzophenone in sunscreens. Reform will </w:t>
      </w:r>
      <w:r w:rsidRPr="00490A70">
        <w:rPr>
          <w:rStyle w:val="Strong"/>
          <w:sz w:val="22"/>
        </w:rPr>
        <w:t>not impact supply</w:t>
      </w:r>
      <w:r w:rsidRPr="00490A70">
        <w:rPr>
          <w:sz w:val="22"/>
        </w:rPr>
        <w:t xml:space="preserve"> or innovation. </w:t>
      </w:r>
    </w:p>
    <w:p w14:paraId="6019ABCE" w14:textId="77777777" w:rsidR="006362AB" w:rsidRDefault="006362AB" w:rsidP="006362AB"/>
    <w:p w14:paraId="53E0F6FE" w14:textId="77777777" w:rsidR="006362AB" w:rsidRPr="002443BC" w:rsidRDefault="006362AB" w:rsidP="006362AB">
      <w:pPr>
        <w:rPr>
          <w:color w:val="00B050"/>
          <w:sz w:val="24"/>
          <w:u w:val="single"/>
        </w:rPr>
      </w:pPr>
      <w:r w:rsidRPr="002443BC">
        <w:rPr>
          <w:rStyle w:val="Strong"/>
          <w:bCs w:val="0"/>
          <w:color w:val="00B050"/>
          <w:sz w:val="24"/>
          <w:u w:val="single"/>
        </w:rPr>
        <w:t>Conclusion</w:t>
      </w:r>
    </w:p>
    <w:p w14:paraId="0AA48302" w14:textId="42F3BBDA" w:rsidR="006362AB" w:rsidRDefault="006362AB" w:rsidP="006362AB">
      <w:r>
        <w:t xml:space="preserve">Benzophenone meets the criteria for </w:t>
      </w:r>
      <w:r>
        <w:rPr>
          <w:rStyle w:val="Strong"/>
        </w:rPr>
        <w:t>prohibition</w:t>
      </w:r>
      <w:r>
        <w:t xml:space="preserve"> under the Poisons Standard. The </w:t>
      </w:r>
      <w:proofErr w:type="gramStart"/>
      <w:r>
        <w:t>383 ppm</w:t>
      </w:r>
      <w:proofErr w:type="gramEnd"/>
      <w:r>
        <w:t xml:space="preserve"> threshold sits </w:t>
      </w:r>
      <w:r>
        <w:rPr>
          <w:rStyle w:val="Strong"/>
        </w:rPr>
        <w:t>within the tumour-inducing range</w:t>
      </w:r>
      <w:r>
        <w:t xml:space="preserve">, is not protective under photobiological conditions, and is unmanageable under thermal shelf-life degradation. </w:t>
      </w:r>
      <w:r w:rsidR="00E9510C">
        <w:t>I</w:t>
      </w:r>
      <w:r>
        <w:t xml:space="preserve"> respectfully urge </w:t>
      </w:r>
      <w:proofErr w:type="gramStart"/>
      <w:r>
        <w:t xml:space="preserve">the </w:t>
      </w:r>
      <w:r w:rsidR="00E9510C">
        <w:t xml:space="preserve"> d</w:t>
      </w:r>
      <w:r>
        <w:t>elegate</w:t>
      </w:r>
      <w:proofErr w:type="gramEnd"/>
      <w:r>
        <w:t xml:space="preserve"> to:</w:t>
      </w:r>
    </w:p>
    <w:p w14:paraId="64428ECF" w14:textId="77777777" w:rsidR="006362AB" w:rsidRDefault="006362AB" w:rsidP="0013089E">
      <w:pPr>
        <w:pStyle w:val="ListParagraph"/>
        <w:numPr>
          <w:ilvl w:val="0"/>
          <w:numId w:val="16"/>
        </w:numPr>
      </w:pPr>
      <w:r>
        <w:rPr>
          <w:rStyle w:val="Strong"/>
        </w:rPr>
        <w:t>Reject the 383ppm exemption</w:t>
      </w:r>
      <w:r>
        <w:t xml:space="preserve"> for benzophenone in Schedule 5</w:t>
      </w:r>
    </w:p>
    <w:p w14:paraId="686D860B" w14:textId="77777777" w:rsidR="006362AB" w:rsidRDefault="006362AB" w:rsidP="0013089E">
      <w:pPr>
        <w:pStyle w:val="ListParagraph"/>
        <w:numPr>
          <w:ilvl w:val="0"/>
          <w:numId w:val="16"/>
        </w:numPr>
      </w:pPr>
      <w:r>
        <w:t xml:space="preserve">Set the exemption threshold at </w:t>
      </w:r>
      <w:r>
        <w:rPr>
          <w:rStyle w:val="Strong"/>
        </w:rPr>
        <w:t>0% (ND = Not Detected)</w:t>
      </w:r>
      <w:r>
        <w:t xml:space="preserve"> for use in </w:t>
      </w:r>
      <w:r>
        <w:rPr>
          <w:rStyle w:val="Strong"/>
        </w:rPr>
        <w:t>therapeutic sunscreens</w:t>
      </w:r>
    </w:p>
    <w:p w14:paraId="4CBC54F2" w14:textId="77777777" w:rsidR="006362AB" w:rsidRDefault="006362AB" w:rsidP="0013089E">
      <w:pPr>
        <w:pStyle w:val="ListParagraph"/>
        <w:numPr>
          <w:ilvl w:val="0"/>
          <w:numId w:val="16"/>
        </w:numPr>
      </w:pPr>
      <w:r>
        <w:t xml:space="preserve">Treat benzophenone </w:t>
      </w:r>
      <w:r>
        <w:rPr>
          <w:rStyle w:val="Strong"/>
        </w:rPr>
        <w:t>as a non-threshold carcinogen</w:t>
      </w:r>
      <w:r>
        <w:t>, regardless of origin (ingredient vs. impurity)</w:t>
      </w:r>
    </w:p>
    <w:p w14:paraId="7013B8E7" w14:textId="7FE9E647" w:rsidR="006362AB" w:rsidRDefault="006362AB" w:rsidP="006362AB">
      <w:r>
        <w:t>The presence of benzophenone in therapeutic products — even unintentionally — is incompatible with Australia’s obligation to uphold consumer safety and prevent cumulative carcinogenic exposure.</w:t>
      </w:r>
    </w:p>
    <w:p w14:paraId="4B34330B" w14:textId="2C971393" w:rsidR="008377AA" w:rsidRDefault="008377AA" w:rsidP="006362AB"/>
    <w:p w14:paraId="3D635230" w14:textId="77777777" w:rsidR="008377AA" w:rsidRPr="008377AA" w:rsidRDefault="008377AA" w:rsidP="008377AA">
      <w:pPr>
        <w:rPr>
          <w:b/>
          <w:color w:val="7030A0"/>
          <w:sz w:val="24"/>
          <w:szCs w:val="27"/>
          <w:u w:val="single"/>
        </w:rPr>
      </w:pPr>
      <w:proofErr w:type="spellStart"/>
      <w:r w:rsidRPr="008377AA">
        <w:rPr>
          <w:b/>
          <w:color w:val="7030A0"/>
          <w:sz w:val="24"/>
          <w:u w:val="single"/>
        </w:rPr>
        <w:t>Fallback</w:t>
      </w:r>
      <w:proofErr w:type="spellEnd"/>
      <w:r w:rsidRPr="008377AA">
        <w:rPr>
          <w:b/>
          <w:color w:val="7030A0"/>
          <w:sz w:val="24"/>
          <w:u w:val="single"/>
        </w:rPr>
        <w:t xml:space="preserve"> Position – </w:t>
      </w:r>
      <w:proofErr w:type="spellStart"/>
      <w:r w:rsidRPr="008377AA">
        <w:rPr>
          <w:b/>
          <w:color w:val="7030A0"/>
          <w:sz w:val="24"/>
          <w:u w:val="single"/>
        </w:rPr>
        <w:t>MoS</w:t>
      </w:r>
      <w:proofErr w:type="spellEnd"/>
      <w:r w:rsidRPr="008377AA">
        <w:rPr>
          <w:b/>
          <w:color w:val="7030A0"/>
          <w:sz w:val="24"/>
          <w:u w:val="single"/>
        </w:rPr>
        <w:t>-Based Limit Justification</w:t>
      </w:r>
    </w:p>
    <w:p w14:paraId="2654D188" w14:textId="189FA0EB" w:rsidR="008377AA" w:rsidRDefault="008377AA" w:rsidP="008377AA">
      <w:pPr>
        <w:pStyle w:val="NormalWeb"/>
        <w:spacing w:before="0" w:beforeAutospacing="0" w:after="0" w:afterAutospacing="0" w:line="360" w:lineRule="auto"/>
        <w:jc w:val="both"/>
      </w:pPr>
      <w:r>
        <w:t xml:space="preserve">If the Delegate does not adopt a full ban on benzophenone (0% threshold), the implementation of a science-based </w:t>
      </w:r>
      <w:proofErr w:type="spellStart"/>
      <w:r>
        <w:t>fallback</w:t>
      </w:r>
      <w:proofErr w:type="spellEnd"/>
      <w:r>
        <w:t xml:space="preserve"> limit, grounded in standard toxicological risk assessment and aligned with the Australian Sunscreen Exposure Model (ASEM)</w:t>
      </w:r>
      <w:r>
        <w:t xml:space="preserve"> can be recommended</w:t>
      </w:r>
      <w:r>
        <w:t>.</w:t>
      </w:r>
    </w:p>
    <w:p w14:paraId="1EF71CEF" w14:textId="77777777" w:rsidR="008377AA" w:rsidRDefault="008377AA" w:rsidP="008377AA">
      <w:pPr>
        <w:pStyle w:val="NormalWeb"/>
        <w:spacing w:before="0" w:beforeAutospacing="0" w:after="0" w:afterAutospacing="0" w:line="360" w:lineRule="auto"/>
        <w:jc w:val="both"/>
      </w:pPr>
      <w:r>
        <w:lastRenderedPageBreak/>
        <w:t>The proposed 383 ppm exemption is not protective. It lies within the dose range where tumour formation occurred (312 ppm, OEHHA, 2019), and fails to deliver a sufficient Margin of Safety (</w:t>
      </w:r>
      <w:proofErr w:type="spellStart"/>
      <w:r>
        <w:t>MoS</w:t>
      </w:r>
      <w:proofErr w:type="spellEnd"/>
      <w:r>
        <w:t>).</w:t>
      </w:r>
    </w:p>
    <w:p w14:paraId="1032437C" w14:textId="77777777" w:rsidR="008377AA" w:rsidRDefault="008377AA" w:rsidP="008377AA">
      <w:pPr>
        <w:pStyle w:val="NormalWeb"/>
        <w:spacing w:before="0" w:beforeAutospacing="0" w:after="0" w:afterAutospacing="0" w:line="360" w:lineRule="auto"/>
        <w:jc w:val="both"/>
      </w:pPr>
    </w:p>
    <w:p w14:paraId="091DBE17" w14:textId="5B84C97A" w:rsidR="008377AA" w:rsidRDefault="008377AA" w:rsidP="008377AA">
      <w:pPr>
        <w:pStyle w:val="NormalWeb"/>
        <w:spacing w:before="0" w:beforeAutospacing="0" w:after="0" w:afterAutospacing="0" w:line="360" w:lineRule="auto"/>
        <w:jc w:val="both"/>
      </w:pPr>
      <w:r>
        <w:t xml:space="preserve">Using the standard </w:t>
      </w:r>
      <w:proofErr w:type="spellStart"/>
      <w:r>
        <w:t>MoS</w:t>
      </w:r>
      <w:proofErr w:type="spellEnd"/>
      <w:r>
        <w:t xml:space="preserve"> formula:</w:t>
      </w:r>
    </w:p>
    <w:p w14:paraId="551233D9" w14:textId="77777777" w:rsidR="008377AA" w:rsidRDefault="008377AA" w:rsidP="008377AA">
      <w:pPr>
        <w:pStyle w:val="NormalWeb"/>
        <w:spacing w:before="0" w:beforeAutospacing="0" w:after="0" w:afterAutospacing="0" w:line="360" w:lineRule="auto"/>
        <w:jc w:val="center"/>
      </w:pPr>
      <w:proofErr w:type="spellStart"/>
      <w:r>
        <w:rPr>
          <w:rStyle w:val="Strong"/>
        </w:rPr>
        <w:t>MoS</w:t>
      </w:r>
      <w:proofErr w:type="spellEnd"/>
      <w:r>
        <w:rPr>
          <w:rStyle w:val="Strong"/>
        </w:rPr>
        <w:t xml:space="preserve"> = NOAEL / SED</w:t>
      </w:r>
      <w:r>
        <w:br/>
        <w:t>where</w:t>
      </w:r>
      <w:r>
        <w:br/>
        <w:t xml:space="preserve">NOAEL = 3 mg/kg </w:t>
      </w:r>
      <w:proofErr w:type="spellStart"/>
      <w:r>
        <w:t>bw</w:t>
      </w:r>
      <w:proofErr w:type="spellEnd"/>
      <w:r>
        <w:t>/day (TGA, 2025)</w:t>
      </w:r>
      <w:r>
        <w:br/>
        <w:t>Body weight = 60 kg</w:t>
      </w:r>
      <w:r>
        <w:br/>
        <w:t>SED = Systemic Exposure Dose</w:t>
      </w:r>
      <w:r>
        <w:br/>
        <w:t xml:space="preserve">SED = (A × C × </w:t>
      </w:r>
      <w:proofErr w:type="spellStart"/>
      <w:r>
        <w:t>DAp</w:t>
      </w:r>
      <w:proofErr w:type="spellEnd"/>
      <w:r>
        <w:t>) / BW</w:t>
      </w:r>
      <w:r>
        <w:br/>
        <w:t xml:space="preserve">A = daily application (mg/day), C = concentration (%), </w:t>
      </w:r>
      <w:proofErr w:type="spellStart"/>
      <w:r>
        <w:t>DAp</w:t>
      </w:r>
      <w:proofErr w:type="spellEnd"/>
      <w:r>
        <w:t xml:space="preserve"> = dermal absorption (assumed 100%)</w:t>
      </w:r>
    </w:p>
    <w:p w14:paraId="365BEE37" w14:textId="67230474" w:rsidR="008377AA" w:rsidRDefault="008377AA" w:rsidP="008377AA">
      <w:pPr>
        <w:pStyle w:val="NormalWeb"/>
        <w:spacing w:before="0" w:beforeAutospacing="0" w:after="0" w:afterAutospacing="0" w:line="360" w:lineRule="auto"/>
        <w:jc w:val="both"/>
      </w:pPr>
      <w:r>
        <w:t>T</w:t>
      </w:r>
      <w:r>
        <w:t xml:space="preserve">he following maximum allowable concentrations to ensure </w:t>
      </w:r>
      <w:proofErr w:type="spellStart"/>
      <w:r>
        <w:rPr>
          <w:rStyle w:val="Strong"/>
        </w:rPr>
        <w:t>MoS</w:t>
      </w:r>
      <w:proofErr w:type="spellEnd"/>
      <w:r>
        <w:rPr>
          <w:rStyle w:val="Strong"/>
        </w:rPr>
        <w:t xml:space="preserve"> ≥ 100</w:t>
      </w:r>
      <w:r>
        <w:t xml:space="preserve"> under different usage scenarios</w:t>
      </w:r>
      <w:r>
        <w:t xml:space="preserve"> were derived</w:t>
      </w:r>
      <w:r>
        <w:t>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1138"/>
        <w:gridCol w:w="1737"/>
        <w:gridCol w:w="1684"/>
      </w:tblGrid>
      <w:tr w:rsidR="008377AA" w14:paraId="1FD21A77" w14:textId="77777777" w:rsidTr="008377AA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FCE7A69" w14:textId="77777777" w:rsidR="008377AA" w:rsidRDefault="008377AA" w:rsidP="008377AA">
            <w:pPr>
              <w:rPr>
                <w:b/>
                <w:bCs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0" w:type="auto"/>
            <w:vAlign w:val="center"/>
            <w:hideMark/>
          </w:tcPr>
          <w:p w14:paraId="2F3B0475" w14:textId="77777777" w:rsidR="008377AA" w:rsidRDefault="008377AA" w:rsidP="008377AA">
            <w:pPr>
              <w:rPr>
                <w:b/>
                <w:bCs/>
              </w:rPr>
            </w:pPr>
            <w:r>
              <w:rPr>
                <w:b/>
                <w:bCs/>
              </w:rPr>
              <w:t>A (mg/day)</w:t>
            </w:r>
          </w:p>
        </w:tc>
        <w:tc>
          <w:tcPr>
            <w:tcW w:w="0" w:type="auto"/>
            <w:vAlign w:val="center"/>
            <w:hideMark/>
          </w:tcPr>
          <w:p w14:paraId="0626CF27" w14:textId="77777777" w:rsidR="008377AA" w:rsidRDefault="008377AA" w:rsidP="008377AA">
            <w:pPr>
              <w:rPr>
                <w:b/>
                <w:bCs/>
              </w:rPr>
            </w:pPr>
            <w:r>
              <w:rPr>
                <w:b/>
                <w:bCs/>
              </w:rPr>
              <w:t>Max Conc. (ppm)</w:t>
            </w:r>
          </w:p>
        </w:tc>
        <w:tc>
          <w:tcPr>
            <w:tcW w:w="0" w:type="auto"/>
            <w:vAlign w:val="center"/>
            <w:hideMark/>
          </w:tcPr>
          <w:p w14:paraId="19E5CC0F" w14:textId="77777777" w:rsidR="008377AA" w:rsidRDefault="008377AA" w:rsidP="008377AA">
            <w:pPr>
              <w:rPr>
                <w:b/>
                <w:bCs/>
              </w:rPr>
            </w:pPr>
            <w:r>
              <w:rPr>
                <w:b/>
                <w:bCs/>
              </w:rPr>
              <w:t>Justification</w:t>
            </w:r>
          </w:p>
        </w:tc>
      </w:tr>
      <w:tr w:rsidR="008377AA" w14:paraId="75641D9E" w14:textId="77777777" w:rsidTr="008377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A4E17DA" w14:textId="77777777" w:rsidR="008377AA" w:rsidRDefault="008377AA" w:rsidP="008377AA">
            <w:r>
              <w:t>1×/day</w:t>
            </w:r>
          </w:p>
        </w:tc>
        <w:tc>
          <w:tcPr>
            <w:tcW w:w="0" w:type="auto"/>
            <w:vAlign w:val="center"/>
            <w:hideMark/>
          </w:tcPr>
          <w:p w14:paraId="00F5F11F" w14:textId="77777777" w:rsidR="008377AA" w:rsidRDefault="008377AA" w:rsidP="008377AA">
            <w:r>
              <w:t>35,000</w:t>
            </w:r>
          </w:p>
        </w:tc>
        <w:tc>
          <w:tcPr>
            <w:tcW w:w="0" w:type="auto"/>
            <w:vAlign w:val="center"/>
            <w:hideMark/>
          </w:tcPr>
          <w:p w14:paraId="762FED74" w14:textId="77777777" w:rsidR="008377AA" w:rsidRDefault="008377AA" w:rsidP="008377AA">
            <w:r>
              <w:t>51 ppm</w:t>
            </w:r>
          </w:p>
        </w:tc>
        <w:tc>
          <w:tcPr>
            <w:tcW w:w="0" w:type="auto"/>
            <w:vAlign w:val="center"/>
            <w:hideMark/>
          </w:tcPr>
          <w:p w14:paraId="27B56804" w14:textId="77777777" w:rsidR="008377AA" w:rsidRDefault="008377AA" w:rsidP="008377AA">
            <w:r>
              <w:t>Light users</w:t>
            </w:r>
          </w:p>
        </w:tc>
      </w:tr>
      <w:tr w:rsidR="008377AA" w14:paraId="07150EE6" w14:textId="77777777" w:rsidTr="008377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CD13122" w14:textId="77777777" w:rsidR="008377AA" w:rsidRDefault="008377AA" w:rsidP="008377AA">
            <w:r>
              <w:t>2×/day</w:t>
            </w:r>
          </w:p>
        </w:tc>
        <w:tc>
          <w:tcPr>
            <w:tcW w:w="0" w:type="auto"/>
            <w:vAlign w:val="center"/>
            <w:hideMark/>
          </w:tcPr>
          <w:p w14:paraId="2056AD36" w14:textId="77777777" w:rsidR="008377AA" w:rsidRDefault="008377AA" w:rsidP="008377AA">
            <w:r>
              <w:t>70,000</w:t>
            </w:r>
          </w:p>
        </w:tc>
        <w:tc>
          <w:tcPr>
            <w:tcW w:w="0" w:type="auto"/>
            <w:vAlign w:val="center"/>
            <w:hideMark/>
          </w:tcPr>
          <w:p w14:paraId="383FAB83" w14:textId="77777777" w:rsidR="008377AA" w:rsidRDefault="008377AA" w:rsidP="008377AA">
            <w:r>
              <w:t>26 ppm</w:t>
            </w:r>
          </w:p>
        </w:tc>
        <w:tc>
          <w:tcPr>
            <w:tcW w:w="0" w:type="auto"/>
            <w:vAlign w:val="center"/>
            <w:hideMark/>
          </w:tcPr>
          <w:p w14:paraId="7DA39195" w14:textId="77777777" w:rsidR="008377AA" w:rsidRDefault="008377AA" w:rsidP="008377AA">
            <w:r>
              <w:t>Moderate users</w:t>
            </w:r>
          </w:p>
        </w:tc>
      </w:tr>
      <w:tr w:rsidR="008377AA" w14:paraId="05DBEAC4" w14:textId="77777777" w:rsidTr="008377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E93424" w14:textId="77777777" w:rsidR="008377AA" w:rsidRDefault="008377AA" w:rsidP="008377AA">
            <w:r>
              <w:t>3×/day</w:t>
            </w:r>
          </w:p>
        </w:tc>
        <w:tc>
          <w:tcPr>
            <w:tcW w:w="0" w:type="auto"/>
            <w:vAlign w:val="center"/>
            <w:hideMark/>
          </w:tcPr>
          <w:p w14:paraId="068237D3" w14:textId="77777777" w:rsidR="008377AA" w:rsidRDefault="008377AA" w:rsidP="008377AA">
            <w:r>
              <w:t>105,000</w:t>
            </w:r>
          </w:p>
        </w:tc>
        <w:tc>
          <w:tcPr>
            <w:tcW w:w="0" w:type="auto"/>
            <w:vAlign w:val="center"/>
            <w:hideMark/>
          </w:tcPr>
          <w:p w14:paraId="4CA45EF6" w14:textId="77777777" w:rsidR="008377AA" w:rsidRDefault="008377AA" w:rsidP="008377AA">
            <w:r>
              <w:t>17 ppm</w:t>
            </w:r>
          </w:p>
        </w:tc>
        <w:tc>
          <w:tcPr>
            <w:tcW w:w="0" w:type="auto"/>
            <w:vAlign w:val="center"/>
            <w:hideMark/>
          </w:tcPr>
          <w:p w14:paraId="58DBDDE1" w14:textId="77777777" w:rsidR="008377AA" w:rsidRDefault="008377AA" w:rsidP="008377AA">
            <w:r>
              <w:t>Frequent users</w:t>
            </w:r>
          </w:p>
        </w:tc>
      </w:tr>
      <w:tr w:rsidR="008377AA" w14:paraId="794A73CF" w14:textId="77777777" w:rsidTr="008377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CA1580" w14:textId="77777777" w:rsidR="008377AA" w:rsidRDefault="008377AA" w:rsidP="008377AA">
            <w:r>
              <w:t>4×/day</w:t>
            </w:r>
          </w:p>
        </w:tc>
        <w:tc>
          <w:tcPr>
            <w:tcW w:w="0" w:type="auto"/>
            <w:vAlign w:val="center"/>
            <w:hideMark/>
          </w:tcPr>
          <w:p w14:paraId="43A7C776" w14:textId="77777777" w:rsidR="008377AA" w:rsidRDefault="008377AA" w:rsidP="008377AA">
            <w:r>
              <w:t>140,000</w:t>
            </w:r>
          </w:p>
        </w:tc>
        <w:tc>
          <w:tcPr>
            <w:tcW w:w="0" w:type="auto"/>
            <w:vAlign w:val="center"/>
            <w:hideMark/>
          </w:tcPr>
          <w:p w14:paraId="169BCC4B" w14:textId="77777777" w:rsidR="008377AA" w:rsidRDefault="008377AA" w:rsidP="008377AA">
            <w:r>
              <w:t>13 ppm</w:t>
            </w:r>
          </w:p>
        </w:tc>
        <w:tc>
          <w:tcPr>
            <w:tcW w:w="0" w:type="auto"/>
            <w:vAlign w:val="center"/>
            <w:hideMark/>
          </w:tcPr>
          <w:p w14:paraId="71F9053A" w14:textId="77777777" w:rsidR="008377AA" w:rsidRDefault="008377AA" w:rsidP="008377AA">
            <w:r>
              <w:t>ASEM worst case</w:t>
            </w:r>
          </w:p>
        </w:tc>
      </w:tr>
    </w:tbl>
    <w:p w14:paraId="3849C236" w14:textId="77777777" w:rsidR="008377AA" w:rsidRDefault="008377AA" w:rsidP="008377AA">
      <w:pPr>
        <w:pStyle w:val="NormalWeb"/>
        <w:spacing w:before="0" w:beforeAutospacing="0" w:after="0" w:afterAutospacing="0" w:line="360" w:lineRule="auto"/>
        <w:jc w:val="both"/>
      </w:pPr>
      <w:r>
        <w:t xml:space="preserve">Therefore, we propose the following </w:t>
      </w:r>
      <w:proofErr w:type="spellStart"/>
      <w:r>
        <w:t>fallback</w:t>
      </w:r>
      <w:proofErr w:type="spellEnd"/>
      <w:r>
        <w:t xml:space="preserve"> thresholds:</w:t>
      </w:r>
    </w:p>
    <w:p w14:paraId="00AC6EC2" w14:textId="77777777" w:rsidR="008377AA" w:rsidRDefault="008377AA" w:rsidP="008377AA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  <w:jc w:val="both"/>
      </w:pPr>
      <w:r>
        <w:rPr>
          <w:rStyle w:val="Strong"/>
        </w:rPr>
        <w:t>Tier 1</w:t>
      </w:r>
      <w:r>
        <w:t xml:space="preserve"> (ASEM): ≤ 13 ppm</w:t>
      </w:r>
    </w:p>
    <w:p w14:paraId="7221B37C" w14:textId="77777777" w:rsidR="008377AA" w:rsidRDefault="008377AA" w:rsidP="008377AA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  <w:jc w:val="both"/>
      </w:pPr>
      <w:r>
        <w:rPr>
          <w:rStyle w:val="Strong"/>
        </w:rPr>
        <w:t>Tier 2</w:t>
      </w:r>
      <w:r>
        <w:t xml:space="preserve"> (Average use): ≤ 25 ppm</w:t>
      </w:r>
    </w:p>
    <w:p w14:paraId="11EF7FEE" w14:textId="77777777" w:rsidR="008377AA" w:rsidRDefault="008377AA" w:rsidP="008377AA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  <w:jc w:val="both"/>
      </w:pPr>
      <w:r>
        <w:rPr>
          <w:rStyle w:val="Strong"/>
        </w:rPr>
        <w:t>Tier 3</w:t>
      </w:r>
      <w:r>
        <w:t xml:space="preserve"> (Analytical variation ceiling): ≤ 50 ppm</w:t>
      </w:r>
    </w:p>
    <w:p w14:paraId="6CADEBBC" w14:textId="77777777" w:rsidR="008377AA" w:rsidRDefault="008377AA" w:rsidP="008377AA">
      <w:pPr>
        <w:pStyle w:val="NormalWeb"/>
        <w:spacing w:before="0" w:beforeAutospacing="0" w:after="0" w:afterAutospacing="0" w:line="360" w:lineRule="auto"/>
        <w:jc w:val="both"/>
        <w:rPr>
          <w:i/>
          <w:u w:val="single"/>
        </w:rPr>
      </w:pPr>
    </w:p>
    <w:p w14:paraId="52D6AC68" w14:textId="7353B0AE" w:rsidR="008377AA" w:rsidRPr="008377AA" w:rsidRDefault="008377AA" w:rsidP="008377AA">
      <w:pPr>
        <w:pStyle w:val="NormalWeb"/>
        <w:spacing w:before="0" w:beforeAutospacing="0" w:after="0" w:afterAutospacing="0" w:line="360" w:lineRule="auto"/>
        <w:jc w:val="both"/>
        <w:rPr>
          <w:i/>
          <w:u w:val="single"/>
        </w:rPr>
      </w:pPr>
      <w:r w:rsidRPr="008377AA">
        <w:rPr>
          <w:i/>
          <w:u w:val="single"/>
        </w:rPr>
        <w:t xml:space="preserve">Any value above 50 ppm is not scientifically defensible under established </w:t>
      </w:r>
      <w:proofErr w:type="spellStart"/>
      <w:r w:rsidRPr="008377AA">
        <w:rPr>
          <w:i/>
          <w:u w:val="single"/>
        </w:rPr>
        <w:t>MoS</w:t>
      </w:r>
      <w:proofErr w:type="spellEnd"/>
      <w:r w:rsidRPr="008377AA">
        <w:rPr>
          <w:i/>
          <w:u w:val="single"/>
        </w:rPr>
        <w:t xml:space="preserve"> criteria and fails to account for dermal accumulation or phototoxic amplification under UV exposure.</w:t>
      </w:r>
    </w:p>
    <w:p w14:paraId="2228A799" w14:textId="77777777" w:rsidR="008377AA" w:rsidRDefault="008377AA" w:rsidP="008377AA">
      <w:pPr>
        <w:rPr>
          <w:b/>
        </w:rPr>
      </w:pPr>
    </w:p>
    <w:p w14:paraId="330D9FBB" w14:textId="77777777" w:rsidR="008377AA" w:rsidRDefault="008377AA" w:rsidP="008377AA">
      <w:pPr>
        <w:rPr>
          <w:b/>
        </w:rPr>
      </w:pPr>
    </w:p>
    <w:p w14:paraId="4B136710" w14:textId="77777777" w:rsidR="008377AA" w:rsidRDefault="008377AA" w:rsidP="008377AA">
      <w:pPr>
        <w:rPr>
          <w:b/>
        </w:rPr>
      </w:pPr>
    </w:p>
    <w:p w14:paraId="53AF1F0D" w14:textId="77777777" w:rsidR="008377AA" w:rsidRDefault="008377AA" w:rsidP="008377AA">
      <w:pPr>
        <w:rPr>
          <w:b/>
        </w:rPr>
      </w:pPr>
    </w:p>
    <w:p w14:paraId="10A0F943" w14:textId="4265BA76" w:rsidR="008377AA" w:rsidRPr="008377AA" w:rsidRDefault="008377AA" w:rsidP="008377AA">
      <w:pPr>
        <w:rPr>
          <w:b/>
        </w:rPr>
      </w:pPr>
      <w:r w:rsidRPr="008377AA">
        <w:rPr>
          <w:b/>
        </w:rPr>
        <w:lastRenderedPageBreak/>
        <w:t>Summary Recommendation</w:t>
      </w:r>
    </w:p>
    <w:p w14:paraId="3AD6BB6E" w14:textId="00471BEE" w:rsidR="008377AA" w:rsidRDefault="008377AA" w:rsidP="008377AA">
      <w:pPr>
        <w:pStyle w:val="NormalWeb"/>
        <w:spacing w:before="0" w:beforeAutospacing="0" w:after="0" w:afterAutospacing="0" w:line="360" w:lineRule="auto"/>
        <w:jc w:val="both"/>
      </w:pPr>
      <w:r>
        <w:t xml:space="preserve">If a 0% threshold is not adopted, the Delegate should impose a </w:t>
      </w:r>
      <w:r>
        <w:rPr>
          <w:rStyle w:val="Strong"/>
        </w:rPr>
        <w:t>strict impurity limit ≤ 13 ppm</w:t>
      </w:r>
      <w:r>
        <w:t>, consistent with the most protective ASEM scenario and aligned with precautionary public health risk assessment principles.</w:t>
      </w:r>
    </w:p>
    <w:p w14:paraId="3FA972D3" w14:textId="77777777" w:rsidR="006362AB" w:rsidRDefault="006362AB" w:rsidP="006362AB">
      <w:pPr>
        <w:pStyle w:val="Heading1"/>
        <w:rPr>
          <w:szCs w:val="36"/>
        </w:rPr>
      </w:pPr>
      <w:bookmarkStart w:id="6" w:name="_Toc205203508"/>
      <w:r>
        <w:rPr>
          <w:rStyle w:val="Strong"/>
          <w:b/>
          <w:bCs/>
        </w:rPr>
        <w:t>Section 4: Safer, Australian-Made Alternatives Are Available Today</w:t>
      </w:r>
      <w:bookmarkEnd w:id="6"/>
    </w:p>
    <w:p w14:paraId="66217BF0" w14:textId="77777777" w:rsidR="00E9510C" w:rsidRPr="00E9510C" w:rsidRDefault="00E9510C" w:rsidP="00E9510C">
      <w:pPr>
        <w:pStyle w:val="NormalWeb"/>
        <w:spacing w:before="0" w:beforeAutospacing="0" w:after="0" w:afterAutospacing="0" w:line="360" w:lineRule="auto"/>
        <w:rPr>
          <w:sz w:val="22"/>
        </w:rPr>
      </w:pPr>
      <w:r w:rsidRPr="00E9510C">
        <w:rPr>
          <w:sz w:val="22"/>
        </w:rPr>
        <w:t xml:space="preserve">The proposed restrictions on </w:t>
      </w:r>
      <w:proofErr w:type="spellStart"/>
      <w:r w:rsidRPr="00E9510C">
        <w:rPr>
          <w:sz w:val="22"/>
        </w:rPr>
        <w:t>homosalate</w:t>
      </w:r>
      <w:proofErr w:type="spellEnd"/>
      <w:r w:rsidRPr="00E9510C">
        <w:rPr>
          <w:sz w:val="22"/>
        </w:rPr>
        <w:t>, oxybenzone, and benzophenone are not only a public health necessity — they are also an opportunity to support local innovation.</w:t>
      </w:r>
    </w:p>
    <w:p w14:paraId="58E99BF1" w14:textId="77777777" w:rsidR="00E9510C" w:rsidRDefault="00E9510C" w:rsidP="00E9510C">
      <w:pPr>
        <w:pStyle w:val="NormalWeb"/>
        <w:spacing w:before="0" w:beforeAutospacing="0" w:after="0" w:afterAutospacing="0" w:line="360" w:lineRule="auto"/>
        <w:rPr>
          <w:rStyle w:val="Strong"/>
          <w:sz w:val="22"/>
        </w:rPr>
      </w:pPr>
    </w:p>
    <w:p w14:paraId="2D9C8BF1" w14:textId="6914AACE" w:rsidR="00E9510C" w:rsidRPr="00E9510C" w:rsidRDefault="00E9510C" w:rsidP="00E9510C">
      <w:pPr>
        <w:pStyle w:val="NormalWeb"/>
        <w:spacing w:before="0" w:beforeAutospacing="0" w:after="0" w:afterAutospacing="0" w:line="360" w:lineRule="auto"/>
        <w:rPr>
          <w:sz w:val="22"/>
        </w:rPr>
      </w:pPr>
      <w:r w:rsidRPr="00E9510C">
        <w:rPr>
          <w:rStyle w:val="Strong"/>
          <w:b w:val="0"/>
          <w:sz w:val="22"/>
        </w:rPr>
        <w:t xml:space="preserve">For example, </w:t>
      </w:r>
      <w:proofErr w:type="spellStart"/>
      <w:r w:rsidRPr="00E9510C">
        <w:rPr>
          <w:rStyle w:val="Strong"/>
          <w:b w:val="0"/>
          <w:sz w:val="22"/>
        </w:rPr>
        <w:t>VeganicSKN</w:t>
      </w:r>
      <w:proofErr w:type="spellEnd"/>
      <w:r w:rsidRPr="00E9510C">
        <w:rPr>
          <w:rStyle w:val="Strong"/>
          <w:b w:val="0"/>
          <w:sz w:val="22"/>
        </w:rPr>
        <w:t xml:space="preserve"> Ltd</w:t>
      </w:r>
      <w:r w:rsidRPr="00E9510C">
        <w:rPr>
          <w:sz w:val="22"/>
        </w:rPr>
        <w:t xml:space="preserve"> is an Australian-owned company already producing sunscreens that are fully compliant with the proposed restrictions. Their products:</w:t>
      </w:r>
    </w:p>
    <w:p w14:paraId="69B169A6" w14:textId="77777777" w:rsidR="00E9510C" w:rsidRPr="00E9510C" w:rsidRDefault="00E9510C" w:rsidP="0013089E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rPr>
          <w:sz w:val="22"/>
        </w:rPr>
      </w:pPr>
      <w:r w:rsidRPr="00E9510C">
        <w:rPr>
          <w:sz w:val="22"/>
        </w:rPr>
        <w:t xml:space="preserve">Contain no </w:t>
      </w:r>
      <w:proofErr w:type="spellStart"/>
      <w:r w:rsidRPr="00E9510C">
        <w:rPr>
          <w:sz w:val="22"/>
        </w:rPr>
        <w:t>homosalate</w:t>
      </w:r>
      <w:proofErr w:type="spellEnd"/>
      <w:r w:rsidRPr="00E9510C">
        <w:rPr>
          <w:sz w:val="22"/>
        </w:rPr>
        <w:t>, oxybenzone, or octocrylene</w:t>
      </w:r>
    </w:p>
    <w:p w14:paraId="562F01FC" w14:textId="77777777" w:rsidR="00E9510C" w:rsidRPr="00E9510C" w:rsidRDefault="00E9510C" w:rsidP="0013089E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rPr>
          <w:sz w:val="22"/>
        </w:rPr>
      </w:pPr>
      <w:r w:rsidRPr="00E9510C">
        <w:rPr>
          <w:sz w:val="22"/>
        </w:rPr>
        <w:t>Use only non-</w:t>
      </w:r>
      <w:proofErr w:type="spellStart"/>
      <w:r w:rsidRPr="00E9510C">
        <w:rPr>
          <w:sz w:val="22"/>
        </w:rPr>
        <w:t>nano</w:t>
      </w:r>
      <w:proofErr w:type="spellEnd"/>
      <w:r w:rsidRPr="00E9510C">
        <w:rPr>
          <w:sz w:val="22"/>
        </w:rPr>
        <w:t xml:space="preserve"> zinc oxide, a broad-spectrum, reef-safe, non-toxic UV filter</w:t>
      </w:r>
    </w:p>
    <w:p w14:paraId="646C03FA" w14:textId="77777777" w:rsidR="00E9510C" w:rsidRPr="00E9510C" w:rsidRDefault="00E9510C" w:rsidP="0013089E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rPr>
          <w:sz w:val="22"/>
        </w:rPr>
      </w:pPr>
      <w:r w:rsidRPr="00E9510C">
        <w:rPr>
          <w:sz w:val="22"/>
        </w:rPr>
        <w:t>Are manufactured in Australia under FDA-aligned GMP protocols</w:t>
      </w:r>
    </w:p>
    <w:p w14:paraId="2EEA3F29" w14:textId="77777777" w:rsidR="00E9510C" w:rsidRDefault="00E9510C" w:rsidP="00E9510C">
      <w:pPr>
        <w:pStyle w:val="NormalWeb"/>
        <w:spacing w:before="0" w:beforeAutospacing="0" w:after="0" w:afterAutospacing="0" w:line="360" w:lineRule="auto"/>
        <w:rPr>
          <w:sz w:val="22"/>
        </w:rPr>
      </w:pPr>
    </w:p>
    <w:p w14:paraId="1EE16916" w14:textId="01D8634C" w:rsidR="00E9510C" w:rsidRPr="00E9510C" w:rsidRDefault="00E9510C" w:rsidP="00E9510C">
      <w:pPr>
        <w:pStyle w:val="NormalWeb"/>
        <w:spacing w:before="0" w:beforeAutospacing="0" w:after="0" w:afterAutospacing="0" w:line="360" w:lineRule="auto"/>
        <w:rPr>
          <w:sz w:val="22"/>
        </w:rPr>
      </w:pPr>
      <w:r>
        <w:rPr>
          <w:sz w:val="22"/>
        </w:rPr>
        <w:t>Companies like these are</w:t>
      </w:r>
      <w:r w:rsidRPr="00E9510C">
        <w:rPr>
          <w:sz w:val="22"/>
        </w:rPr>
        <w:t xml:space="preserve"> ready to scale production, showing that safe, effective sunscreens can be made domestically, affordably, and without reliance on the outdated chemical filters under review.</w:t>
      </w:r>
    </w:p>
    <w:p w14:paraId="18006A9E" w14:textId="77777777" w:rsidR="00E9510C" w:rsidRDefault="00E9510C" w:rsidP="00E9510C">
      <w:pPr>
        <w:pStyle w:val="NormalWeb"/>
        <w:spacing w:before="0" w:beforeAutospacing="0" w:after="0" w:afterAutospacing="0" w:line="360" w:lineRule="auto"/>
        <w:rPr>
          <w:sz w:val="22"/>
        </w:rPr>
      </w:pPr>
    </w:p>
    <w:p w14:paraId="0D09C665" w14:textId="65661354" w:rsidR="006362AB" w:rsidRPr="00E9510C" w:rsidRDefault="00E9510C" w:rsidP="00E9510C">
      <w:pPr>
        <w:pStyle w:val="NormalWeb"/>
        <w:spacing w:before="0" w:beforeAutospacing="0" w:after="0" w:afterAutospacing="0" w:line="360" w:lineRule="auto"/>
        <w:rPr>
          <w:sz w:val="22"/>
        </w:rPr>
      </w:pPr>
      <w:r w:rsidRPr="00E9510C">
        <w:rPr>
          <w:sz w:val="22"/>
        </w:rPr>
        <w:t>Reform is not a threat to the sunscreen industry — it’s a chance to grow Australia’s local manufacturing base while protecting public health and the environment.</w:t>
      </w:r>
    </w:p>
    <w:p w14:paraId="4B0CBD46" w14:textId="77777777" w:rsidR="006362AB" w:rsidRDefault="006362AB" w:rsidP="006362AB">
      <w:pPr>
        <w:rPr>
          <w:b/>
        </w:rPr>
      </w:pPr>
    </w:p>
    <w:p w14:paraId="42C60331" w14:textId="77777777" w:rsidR="006362AB" w:rsidRPr="004C0CF0" w:rsidRDefault="006362AB" w:rsidP="006362AB">
      <w:pPr>
        <w:rPr>
          <w:b/>
        </w:rPr>
      </w:pPr>
      <w:r w:rsidRPr="004C0CF0">
        <w:rPr>
          <w:b/>
        </w:rPr>
        <w:t>References</w:t>
      </w:r>
    </w:p>
    <w:p w14:paraId="417543B2" w14:textId="77777777" w:rsidR="006362AB" w:rsidRDefault="006362AB" w:rsidP="0013089E">
      <w:pPr>
        <w:pStyle w:val="NormalWeb"/>
        <w:numPr>
          <w:ilvl w:val="0"/>
          <w:numId w:val="17"/>
        </w:numPr>
      </w:pPr>
      <w:r>
        <w:t xml:space="preserve">AICIS. (2024). </w:t>
      </w:r>
      <w:r>
        <w:rPr>
          <w:rStyle w:val="Emphasis"/>
        </w:rPr>
        <w:t xml:space="preserve">Draft evaluation statement: </w:t>
      </w:r>
      <w:proofErr w:type="spellStart"/>
      <w:r>
        <w:rPr>
          <w:rStyle w:val="Emphasis"/>
        </w:rPr>
        <w:t>Homosalate</w:t>
      </w:r>
      <w:proofErr w:type="spellEnd"/>
      <w:r>
        <w:t>. Australian Industrial Chemicals Introduction Scheme.</w:t>
      </w:r>
    </w:p>
    <w:p w14:paraId="4AB2D5C9" w14:textId="77777777" w:rsidR="006362AB" w:rsidRDefault="006362AB" w:rsidP="0013089E">
      <w:pPr>
        <w:pStyle w:val="NormalWeb"/>
        <w:numPr>
          <w:ilvl w:val="0"/>
          <w:numId w:val="17"/>
        </w:numPr>
      </w:pPr>
      <w:r>
        <w:t xml:space="preserve">Bernard, A., &amp; Delgado, A. (2012). Health effects of exposure to chlorination by-products in swimming pools. </w:t>
      </w:r>
      <w:proofErr w:type="spellStart"/>
      <w:r>
        <w:rPr>
          <w:rStyle w:val="Emphasis"/>
        </w:rPr>
        <w:t>Annali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dell'Istituto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Superiore</w:t>
      </w:r>
      <w:proofErr w:type="spellEnd"/>
      <w:r>
        <w:rPr>
          <w:rStyle w:val="Emphasis"/>
        </w:rPr>
        <w:t xml:space="preserve"> di </w:t>
      </w:r>
      <w:proofErr w:type="spellStart"/>
      <w:r>
        <w:rPr>
          <w:rStyle w:val="Emphasis"/>
        </w:rPr>
        <w:t>Sanità</w:t>
      </w:r>
      <w:proofErr w:type="spellEnd"/>
      <w:r>
        <w:t>, 48(4), 387–396.</w:t>
      </w:r>
    </w:p>
    <w:p w14:paraId="49C05CDB" w14:textId="77777777" w:rsidR="006362AB" w:rsidRDefault="006362AB" w:rsidP="0013089E">
      <w:pPr>
        <w:pStyle w:val="NormalWeb"/>
        <w:numPr>
          <w:ilvl w:val="0"/>
          <w:numId w:val="17"/>
        </w:numPr>
      </w:pPr>
      <w:r>
        <w:t xml:space="preserve">California Office of Environmental Health Hazard Assessment (OEHHA). (2019). </w:t>
      </w:r>
      <w:r>
        <w:rPr>
          <w:rStyle w:val="Emphasis"/>
        </w:rPr>
        <w:t>Benzophenone hazard identification materials under Proposition 65</w:t>
      </w:r>
      <w:r>
        <w:t>.</w:t>
      </w:r>
    </w:p>
    <w:p w14:paraId="73B7196B" w14:textId="77777777" w:rsidR="006362AB" w:rsidRDefault="006362AB" w:rsidP="0013089E">
      <w:pPr>
        <w:pStyle w:val="NormalWeb"/>
        <w:numPr>
          <w:ilvl w:val="0"/>
          <w:numId w:val="17"/>
        </w:numPr>
      </w:pPr>
      <w:proofErr w:type="spellStart"/>
      <w:r>
        <w:t>Cuquerella</w:t>
      </w:r>
      <w:proofErr w:type="spellEnd"/>
      <w:r>
        <w:t xml:space="preserve">, M. C., </w:t>
      </w:r>
      <w:proofErr w:type="spellStart"/>
      <w:r>
        <w:t>Lhiaubet-Vallet</w:t>
      </w:r>
      <w:proofErr w:type="spellEnd"/>
      <w:r>
        <w:t xml:space="preserve">, V., Cadet, J., &amp; Miranda, M. A. (2012). Benzophenone photosensitized DNA damage. </w:t>
      </w:r>
      <w:r>
        <w:rPr>
          <w:rStyle w:val="Emphasis"/>
        </w:rPr>
        <w:t>Accounts of Chemical Research</w:t>
      </w:r>
      <w:r>
        <w:t>, 45(9), 1558–1570. https://doi.org/10.1021/ar300054e</w:t>
      </w:r>
    </w:p>
    <w:p w14:paraId="5257123C" w14:textId="77777777" w:rsidR="006362AB" w:rsidRDefault="006362AB" w:rsidP="0013089E">
      <w:pPr>
        <w:pStyle w:val="NormalWeb"/>
        <w:numPr>
          <w:ilvl w:val="0"/>
          <w:numId w:val="17"/>
        </w:numPr>
      </w:pPr>
      <w:r>
        <w:t xml:space="preserve">Downs, C. A., </w:t>
      </w:r>
      <w:proofErr w:type="spellStart"/>
      <w:r>
        <w:t>Kramarsky</w:t>
      </w:r>
      <w:proofErr w:type="spellEnd"/>
      <w:r>
        <w:t xml:space="preserve">-Winter, E., Segal, R., et al. (2021). </w:t>
      </w:r>
      <w:proofErr w:type="spellStart"/>
      <w:r>
        <w:t>Toxicopathological</w:t>
      </w:r>
      <w:proofErr w:type="spellEnd"/>
      <w:r>
        <w:t xml:space="preserve"> effects of oxybenzone and other UV filters on coral and human health. </w:t>
      </w:r>
      <w:r>
        <w:rPr>
          <w:rStyle w:val="Emphasis"/>
        </w:rPr>
        <w:t>Environmental Health Perspectives</w:t>
      </w:r>
      <w:r>
        <w:t>, 129(3), 35001.</w:t>
      </w:r>
    </w:p>
    <w:p w14:paraId="71636514" w14:textId="77777777" w:rsidR="006362AB" w:rsidRDefault="006362AB" w:rsidP="0013089E">
      <w:pPr>
        <w:pStyle w:val="NormalWeb"/>
        <w:numPr>
          <w:ilvl w:val="0"/>
          <w:numId w:val="17"/>
        </w:numPr>
      </w:pPr>
      <w:r>
        <w:lastRenderedPageBreak/>
        <w:t xml:space="preserve">European Commission. (2022). </w:t>
      </w:r>
      <w:r>
        <w:rPr>
          <w:rStyle w:val="Emphasis"/>
        </w:rPr>
        <w:t>Regulation (EU) 2022/2195</w:t>
      </w:r>
      <w:r>
        <w:t xml:space="preserve"> amending Annexes of Regulation (EC) No 1223/2009 concerning restrictions for </w:t>
      </w:r>
      <w:proofErr w:type="spellStart"/>
      <w:r>
        <w:t>homosalate</w:t>
      </w:r>
      <w:proofErr w:type="spellEnd"/>
      <w:r>
        <w:t>.</w:t>
      </w:r>
    </w:p>
    <w:p w14:paraId="0D29B5F1" w14:textId="77777777" w:rsidR="006362AB" w:rsidRDefault="006362AB" w:rsidP="0013089E">
      <w:pPr>
        <w:pStyle w:val="NormalWeb"/>
        <w:numPr>
          <w:ilvl w:val="0"/>
          <w:numId w:val="17"/>
        </w:numPr>
      </w:pPr>
      <w:r>
        <w:t xml:space="preserve">Krasner, S. W., et al. (2020). Identification of avobenzone by-products formed by various disinfectants in different types of swimming pool waters. </w:t>
      </w:r>
      <w:r>
        <w:rPr>
          <w:rStyle w:val="Emphasis"/>
        </w:rPr>
        <w:t>Environment International</w:t>
      </w:r>
      <w:r>
        <w:t>, 136, 105479.</w:t>
      </w:r>
    </w:p>
    <w:p w14:paraId="143593D4" w14:textId="77777777" w:rsidR="006362AB" w:rsidRDefault="006362AB" w:rsidP="0013089E">
      <w:pPr>
        <w:pStyle w:val="NormalWeb"/>
        <w:numPr>
          <w:ilvl w:val="0"/>
          <w:numId w:val="17"/>
        </w:numPr>
      </w:pPr>
      <w:r>
        <w:t xml:space="preserve">Matta, M. K., </w:t>
      </w:r>
      <w:proofErr w:type="spellStart"/>
      <w:r>
        <w:t>Zusterzeel</w:t>
      </w:r>
      <w:proofErr w:type="spellEnd"/>
      <w:r>
        <w:t xml:space="preserve">, R., Pilli, N. R., et al. (2020). Effect of sunscreen application on plasma concentration of active ingredients: A randomized clinical trial. </w:t>
      </w:r>
      <w:r>
        <w:rPr>
          <w:rStyle w:val="Emphasis"/>
        </w:rPr>
        <w:t>JAMA</w:t>
      </w:r>
      <w:r>
        <w:t>, 323(3), 256–267.</w:t>
      </w:r>
    </w:p>
    <w:p w14:paraId="6674E51C" w14:textId="77777777" w:rsidR="006362AB" w:rsidRDefault="006362AB" w:rsidP="0013089E">
      <w:pPr>
        <w:pStyle w:val="NormalWeb"/>
        <w:numPr>
          <w:ilvl w:val="0"/>
          <w:numId w:val="17"/>
        </w:numPr>
      </w:pPr>
      <w:r>
        <w:t xml:space="preserve">SCCS. (2021). </w:t>
      </w:r>
      <w:r>
        <w:rPr>
          <w:rStyle w:val="Emphasis"/>
        </w:rPr>
        <w:t xml:space="preserve">Final opinion on </w:t>
      </w:r>
      <w:proofErr w:type="spellStart"/>
      <w:r>
        <w:rPr>
          <w:rStyle w:val="Emphasis"/>
        </w:rPr>
        <w:t>Homosalate</w:t>
      </w:r>
      <w:proofErr w:type="spellEnd"/>
      <w:r>
        <w:rPr>
          <w:rStyle w:val="Emphasis"/>
        </w:rPr>
        <w:t xml:space="preserve"> (SCCS/1622/20)</w:t>
      </w:r>
      <w:r>
        <w:t>. Scientific Committee on Consumer Safety, European Commission.</w:t>
      </w:r>
    </w:p>
    <w:p w14:paraId="2D864CBF" w14:textId="77777777" w:rsidR="006362AB" w:rsidRDefault="006362AB" w:rsidP="0013089E">
      <w:pPr>
        <w:pStyle w:val="NormalWeb"/>
        <w:numPr>
          <w:ilvl w:val="0"/>
          <w:numId w:val="17"/>
        </w:numPr>
      </w:pPr>
      <w:r>
        <w:t xml:space="preserve">SCCS. (2021). </w:t>
      </w:r>
      <w:r>
        <w:rPr>
          <w:rStyle w:val="Emphasis"/>
        </w:rPr>
        <w:t>Final opinion on Benzophenone-3 (Oxybenzone) (SCCS/1625/20)</w:t>
      </w:r>
      <w:r>
        <w:t>. Scientific Committee on Consumer Safety, European Commission.</w:t>
      </w:r>
    </w:p>
    <w:p w14:paraId="143B129B" w14:textId="77777777" w:rsidR="006362AB" w:rsidRDefault="006362AB" w:rsidP="0013089E">
      <w:pPr>
        <w:pStyle w:val="NormalWeb"/>
        <w:numPr>
          <w:ilvl w:val="0"/>
          <w:numId w:val="17"/>
        </w:numPr>
      </w:pPr>
      <w:r>
        <w:t xml:space="preserve">Therapeutic Goods Administration. (2025). </w:t>
      </w:r>
      <w:r>
        <w:rPr>
          <w:rStyle w:val="Emphasis"/>
        </w:rPr>
        <w:t>Safety Review of Seven Active Sunscreen Ingredients</w:t>
      </w:r>
      <w:r>
        <w:t>. Department of Health and Aged Care, Australia.</w:t>
      </w:r>
    </w:p>
    <w:p w14:paraId="39458845" w14:textId="77777777" w:rsidR="006362AB" w:rsidRDefault="006362AB" w:rsidP="0013089E">
      <w:pPr>
        <w:pStyle w:val="NormalWeb"/>
        <w:numPr>
          <w:ilvl w:val="0"/>
          <w:numId w:val="17"/>
        </w:numPr>
      </w:pPr>
      <w:r>
        <w:t xml:space="preserve">Wang, L., et al. (2016). Chlorination of oxybenzone: Kinetics, transformation, disinfection </w:t>
      </w:r>
      <w:proofErr w:type="spellStart"/>
      <w:r>
        <w:t>byproducts</w:t>
      </w:r>
      <w:proofErr w:type="spellEnd"/>
      <w:r>
        <w:t xml:space="preserve"> formation, and genotoxicity changes. </w:t>
      </w:r>
      <w:r>
        <w:rPr>
          <w:rStyle w:val="Emphasis"/>
        </w:rPr>
        <w:t>Chemosphere</w:t>
      </w:r>
      <w:r>
        <w:t>, 154, 521–527.</w:t>
      </w:r>
    </w:p>
    <w:p w14:paraId="3B898F3E" w14:textId="77777777" w:rsidR="006362AB" w:rsidRPr="00F0535E" w:rsidRDefault="006362AB" w:rsidP="0013089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sz w:val="24"/>
        </w:rPr>
      </w:pPr>
      <w:r w:rsidRPr="00F0535E">
        <w:rPr>
          <w:b/>
          <w:bCs/>
          <w:sz w:val="24"/>
        </w:rPr>
        <w:t xml:space="preserve">1DiNardo, J. (2020). Fall from GRASE: UV filters and their toxicological reconsideration. </w:t>
      </w:r>
      <w:r w:rsidRPr="00F0535E">
        <w:rPr>
          <w:b/>
          <w:bCs/>
          <w:i/>
          <w:iCs/>
          <w:sz w:val="24"/>
        </w:rPr>
        <w:t>AJODRR</w:t>
      </w:r>
      <w:r w:rsidRPr="00F0535E">
        <w:rPr>
          <w:b/>
          <w:bCs/>
          <w:sz w:val="24"/>
        </w:rPr>
        <w:t>, December 2020.</w:t>
      </w:r>
      <w:r w:rsidRPr="00F0535E">
        <w:rPr>
          <w:sz w:val="24"/>
        </w:rPr>
        <w:br/>
        <w:t>(</w:t>
      </w:r>
      <w:r w:rsidRPr="00F0535E">
        <w:rPr>
          <w:i/>
          <w:iCs/>
          <w:sz w:val="24"/>
        </w:rPr>
        <w:t xml:space="preserve">Used to support salicylate metabolite toxicity, </w:t>
      </w:r>
      <w:proofErr w:type="spellStart"/>
      <w:r w:rsidRPr="00F0535E">
        <w:rPr>
          <w:i/>
          <w:iCs/>
          <w:sz w:val="24"/>
        </w:rPr>
        <w:t>homosalate</w:t>
      </w:r>
      <w:proofErr w:type="spellEnd"/>
      <w:r w:rsidRPr="00F0535E">
        <w:rPr>
          <w:i/>
          <w:iCs/>
          <w:sz w:val="24"/>
        </w:rPr>
        <w:t xml:space="preserve"> DART risks.</w:t>
      </w:r>
      <w:r w:rsidRPr="00F0535E">
        <w:rPr>
          <w:sz w:val="24"/>
        </w:rPr>
        <w:t>)</w:t>
      </w:r>
    </w:p>
    <w:p w14:paraId="2748FEA3" w14:textId="77777777" w:rsidR="006362AB" w:rsidRPr="00F0535E" w:rsidRDefault="006362AB" w:rsidP="0013089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sz w:val="24"/>
        </w:rPr>
      </w:pPr>
      <w:r w:rsidRPr="00F0535E">
        <w:rPr>
          <w:b/>
          <w:bCs/>
          <w:sz w:val="24"/>
        </w:rPr>
        <w:t xml:space="preserve">IARC. (2013). Benzophenone. </w:t>
      </w:r>
      <w:r w:rsidRPr="00F0535E">
        <w:rPr>
          <w:b/>
          <w:bCs/>
          <w:i/>
          <w:iCs/>
          <w:sz w:val="24"/>
        </w:rPr>
        <w:t>IARC Monographs on the Evaluation of Carcinogenic Risks to Humans</w:t>
      </w:r>
      <w:r w:rsidRPr="00F0535E">
        <w:rPr>
          <w:b/>
          <w:bCs/>
          <w:sz w:val="24"/>
        </w:rPr>
        <w:t>, Vol. 101. World Health Organization.</w:t>
      </w:r>
      <w:r w:rsidRPr="00F0535E">
        <w:rPr>
          <w:sz w:val="24"/>
        </w:rPr>
        <w:br/>
        <w:t>(</w:t>
      </w:r>
      <w:r w:rsidRPr="00F0535E">
        <w:rPr>
          <w:i/>
          <w:iCs/>
          <w:sz w:val="24"/>
        </w:rPr>
        <w:t>Supports benzophenone as Group 2B carcinogen.</w:t>
      </w:r>
      <w:r w:rsidRPr="00F0535E">
        <w:rPr>
          <w:sz w:val="24"/>
        </w:rPr>
        <w:t>)</w:t>
      </w:r>
    </w:p>
    <w:p w14:paraId="365D8723" w14:textId="77777777" w:rsidR="006362AB" w:rsidRPr="00F0535E" w:rsidRDefault="006362AB" w:rsidP="0013089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sz w:val="24"/>
        </w:rPr>
      </w:pPr>
      <w:r w:rsidRPr="00F0535E">
        <w:rPr>
          <w:b/>
          <w:bCs/>
          <w:sz w:val="24"/>
        </w:rPr>
        <w:t>National Toxicology Program (NTP). (2020). Summary of Oxybenzone Testing and Rodent Bioassays.</w:t>
      </w:r>
      <w:r w:rsidRPr="00F0535E">
        <w:rPr>
          <w:sz w:val="24"/>
        </w:rPr>
        <w:br/>
        <w:t>(</w:t>
      </w:r>
      <w:r w:rsidRPr="00F0535E">
        <w:rPr>
          <w:i/>
          <w:iCs/>
          <w:sz w:val="24"/>
        </w:rPr>
        <w:t xml:space="preserve">Used to support oxybenzone systemic and </w:t>
      </w:r>
      <w:proofErr w:type="spellStart"/>
      <w:r w:rsidRPr="00F0535E">
        <w:rPr>
          <w:i/>
          <w:iCs/>
          <w:sz w:val="24"/>
        </w:rPr>
        <w:t>tumor</w:t>
      </w:r>
      <w:proofErr w:type="spellEnd"/>
      <w:r w:rsidRPr="00F0535E">
        <w:rPr>
          <w:i/>
          <w:iCs/>
          <w:sz w:val="24"/>
        </w:rPr>
        <w:t xml:space="preserve"> data.</w:t>
      </w:r>
      <w:r w:rsidRPr="00F0535E">
        <w:rPr>
          <w:sz w:val="24"/>
        </w:rPr>
        <w:t>)</w:t>
      </w:r>
    </w:p>
    <w:p w14:paraId="3D160DFA" w14:textId="77777777" w:rsidR="006362AB" w:rsidRPr="00F0535E" w:rsidRDefault="006362AB" w:rsidP="0013089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sz w:val="24"/>
        </w:rPr>
      </w:pPr>
      <w:r w:rsidRPr="00F0535E">
        <w:rPr>
          <w:b/>
          <w:bCs/>
          <w:sz w:val="24"/>
        </w:rPr>
        <w:t>SCCS. (2024). Final Opinion on Benzophenone-3 (sccs_o_247).</w:t>
      </w:r>
      <w:r w:rsidRPr="00F0535E">
        <w:rPr>
          <w:sz w:val="24"/>
        </w:rPr>
        <w:t xml:space="preserve"> Scientific Committee on Consumer Safety, European Commission.</w:t>
      </w:r>
      <w:r w:rsidRPr="00F0535E">
        <w:rPr>
          <w:sz w:val="24"/>
        </w:rPr>
        <w:br/>
        <w:t>(</w:t>
      </w:r>
      <w:r w:rsidRPr="00F0535E">
        <w:rPr>
          <w:i/>
          <w:iCs/>
          <w:sz w:val="24"/>
        </w:rPr>
        <w:t>Used in updated Oxybenzone section.</w:t>
      </w:r>
      <w:r w:rsidRPr="00F0535E">
        <w:rPr>
          <w:sz w:val="24"/>
        </w:rPr>
        <w:t>)</w:t>
      </w:r>
    </w:p>
    <w:p w14:paraId="1222F582" w14:textId="77777777" w:rsidR="006362AB" w:rsidRPr="00F0535E" w:rsidRDefault="006362AB" w:rsidP="0013089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sz w:val="24"/>
        </w:rPr>
      </w:pPr>
      <w:r w:rsidRPr="00F0535E">
        <w:rPr>
          <w:b/>
          <w:bCs/>
          <w:sz w:val="24"/>
        </w:rPr>
        <w:t xml:space="preserve">Downs, C. A., &amp; DiNardo, J. (2022). Octocrylene degradation into benzophenone in commercial sunscreens. </w:t>
      </w:r>
      <w:r w:rsidRPr="00F0535E">
        <w:rPr>
          <w:b/>
          <w:bCs/>
          <w:i/>
          <w:iCs/>
          <w:sz w:val="24"/>
        </w:rPr>
        <w:t>Chemical Research in Toxicology</w:t>
      </w:r>
      <w:r w:rsidRPr="00F0535E">
        <w:rPr>
          <w:b/>
          <w:bCs/>
          <w:sz w:val="24"/>
        </w:rPr>
        <w:t>, 35(5), 741–752.</w:t>
      </w:r>
      <w:r w:rsidRPr="00F0535E">
        <w:rPr>
          <w:sz w:val="24"/>
        </w:rPr>
        <w:br/>
        <w:t>(</w:t>
      </w:r>
      <w:r w:rsidRPr="00F0535E">
        <w:rPr>
          <w:i/>
          <w:iCs/>
          <w:sz w:val="24"/>
        </w:rPr>
        <w:t>Supports post-manufacture degradation logic.</w:t>
      </w:r>
      <w:r w:rsidRPr="00F0535E">
        <w:rPr>
          <w:sz w:val="24"/>
        </w:rPr>
        <w:t>)</w:t>
      </w:r>
    </w:p>
    <w:p w14:paraId="62312CDA" w14:textId="77777777" w:rsidR="006362AB" w:rsidRDefault="006362AB" w:rsidP="006362AB">
      <w:pPr>
        <w:pStyle w:val="NormalWeb"/>
        <w:ind w:left="360"/>
      </w:pPr>
    </w:p>
    <w:p w14:paraId="1392A2FB" w14:textId="77777777" w:rsidR="006362AB" w:rsidRDefault="006362AB" w:rsidP="006362AB"/>
    <w:p w14:paraId="7B832D5A" w14:textId="77777777" w:rsidR="006362AB" w:rsidRDefault="006362AB" w:rsidP="006362AB"/>
    <w:p w14:paraId="726FE268" w14:textId="77777777" w:rsidR="006362AB" w:rsidRDefault="006362AB" w:rsidP="006362AB"/>
    <w:p w14:paraId="494DB4C7" w14:textId="77777777" w:rsidR="006362AB" w:rsidRPr="00D762E1" w:rsidRDefault="006362AB" w:rsidP="006362AB"/>
    <w:p w14:paraId="451D2004" w14:textId="77777777" w:rsidR="006362AB" w:rsidRDefault="006362AB" w:rsidP="006362AB"/>
    <w:p w14:paraId="09621E9C" w14:textId="77777777" w:rsidR="006362AB" w:rsidRDefault="006362AB" w:rsidP="006362AB"/>
    <w:p w14:paraId="5D9930EC" w14:textId="676EDAB2" w:rsidR="0024718B" w:rsidRDefault="0024718B" w:rsidP="006362AB">
      <w:pPr>
        <w:pStyle w:val="NormalWeb"/>
        <w:spacing w:before="0" w:beforeAutospacing="0" w:after="0" w:afterAutospacing="0" w:line="360" w:lineRule="auto"/>
        <w:jc w:val="both"/>
      </w:pPr>
    </w:p>
    <w:sectPr w:rsidR="0024718B" w:rsidSect="00C47005">
      <w:headerReference w:type="default" r:id="rId8"/>
      <w:footerReference w:type="default" r:id="rId9"/>
      <w:pgSz w:w="12240" w:h="15840"/>
      <w:pgMar w:top="1440" w:right="1800" w:bottom="1440" w:left="1800" w:header="0" w:footer="3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E5C71" w14:textId="77777777" w:rsidR="002B12D4" w:rsidRDefault="002B12D4" w:rsidP="00D762E1">
      <w:r>
        <w:separator/>
      </w:r>
    </w:p>
    <w:p w14:paraId="178D2F20" w14:textId="77777777" w:rsidR="002B12D4" w:rsidRDefault="002B12D4" w:rsidP="00D762E1"/>
    <w:p w14:paraId="1E558A76" w14:textId="77777777" w:rsidR="002B12D4" w:rsidRDefault="002B12D4" w:rsidP="00D762E1"/>
  </w:endnote>
  <w:endnote w:type="continuationSeparator" w:id="0">
    <w:p w14:paraId="67394470" w14:textId="77777777" w:rsidR="002B12D4" w:rsidRDefault="002B12D4" w:rsidP="00D762E1">
      <w:r>
        <w:continuationSeparator/>
      </w:r>
    </w:p>
    <w:p w14:paraId="1B03716E" w14:textId="77777777" w:rsidR="002B12D4" w:rsidRDefault="002B12D4" w:rsidP="00D762E1"/>
    <w:p w14:paraId="6E233C49" w14:textId="77777777" w:rsidR="002B12D4" w:rsidRDefault="002B12D4" w:rsidP="00D76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1921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392B9" w14:textId="77777777" w:rsidR="00D762E1" w:rsidRDefault="00D762E1" w:rsidP="00D762E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6D10CCB3" w14:textId="74BB3488" w:rsidR="00D762E1" w:rsidRDefault="00D762E1" w:rsidP="00D762E1"/>
  <w:p w14:paraId="3C2E1E28" w14:textId="77777777" w:rsidR="00D762E1" w:rsidRDefault="00D762E1" w:rsidP="00D762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0BF3F" w14:textId="77777777" w:rsidR="002B12D4" w:rsidRDefault="002B12D4" w:rsidP="00D762E1">
      <w:r>
        <w:separator/>
      </w:r>
    </w:p>
    <w:p w14:paraId="57C5C28E" w14:textId="77777777" w:rsidR="002B12D4" w:rsidRDefault="002B12D4" w:rsidP="00D762E1"/>
    <w:p w14:paraId="58C5A65D" w14:textId="77777777" w:rsidR="002B12D4" w:rsidRDefault="002B12D4" w:rsidP="00D762E1"/>
  </w:footnote>
  <w:footnote w:type="continuationSeparator" w:id="0">
    <w:p w14:paraId="6836727E" w14:textId="77777777" w:rsidR="002B12D4" w:rsidRDefault="002B12D4" w:rsidP="00D762E1">
      <w:r>
        <w:continuationSeparator/>
      </w:r>
    </w:p>
    <w:p w14:paraId="0BD32A56" w14:textId="77777777" w:rsidR="002B12D4" w:rsidRDefault="002B12D4" w:rsidP="00D762E1"/>
    <w:p w14:paraId="3F0BE18F" w14:textId="77777777" w:rsidR="002B12D4" w:rsidRDefault="002B12D4" w:rsidP="00D762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0CB16" w14:textId="77777777" w:rsidR="00D762E1" w:rsidRDefault="00D762E1" w:rsidP="00D762E1">
    <w:pPr>
      <w:pStyle w:val="Header"/>
    </w:pPr>
  </w:p>
  <w:p w14:paraId="1471E7E6" w14:textId="77777777" w:rsidR="00D762E1" w:rsidRDefault="00D762E1" w:rsidP="00D762E1">
    <w:pPr>
      <w:pStyle w:val="Header"/>
    </w:pPr>
  </w:p>
  <w:p w14:paraId="289269C8" w14:textId="77777777" w:rsidR="00D762E1" w:rsidRDefault="00D762E1" w:rsidP="00D762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B72CD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CC3C42"/>
    <w:multiLevelType w:val="hybridMultilevel"/>
    <w:tmpl w:val="DE90EDD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F54C9A"/>
    <w:multiLevelType w:val="hybridMultilevel"/>
    <w:tmpl w:val="E7D80FA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B290C"/>
    <w:multiLevelType w:val="hybridMultilevel"/>
    <w:tmpl w:val="C7BE73C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2A56B2"/>
    <w:multiLevelType w:val="hybridMultilevel"/>
    <w:tmpl w:val="7DF49DC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201C8"/>
    <w:multiLevelType w:val="hybridMultilevel"/>
    <w:tmpl w:val="E75EA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84E4A"/>
    <w:multiLevelType w:val="hybridMultilevel"/>
    <w:tmpl w:val="404E73A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11473"/>
    <w:multiLevelType w:val="hybridMultilevel"/>
    <w:tmpl w:val="51C8E84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91082"/>
    <w:multiLevelType w:val="multilevel"/>
    <w:tmpl w:val="1E58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3D308A"/>
    <w:multiLevelType w:val="multilevel"/>
    <w:tmpl w:val="97CE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33D72"/>
    <w:multiLevelType w:val="hybridMultilevel"/>
    <w:tmpl w:val="E21850C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E5F70"/>
    <w:multiLevelType w:val="multilevel"/>
    <w:tmpl w:val="27C6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806905"/>
    <w:multiLevelType w:val="hybridMultilevel"/>
    <w:tmpl w:val="7000281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57AA7"/>
    <w:multiLevelType w:val="hybridMultilevel"/>
    <w:tmpl w:val="4DD8BD3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A05302"/>
    <w:multiLevelType w:val="multilevel"/>
    <w:tmpl w:val="79A6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7A4CDE"/>
    <w:multiLevelType w:val="multilevel"/>
    <w:tmpl w:val="5D3E8E0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A01238"/>
    <w:multiLevelType w:val="multilevel"/>
    <w:tmpl w:val="2362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A21F6B"/>
    <w:multiLevelType w:val="hybridMultilevel"/>
    <w:tmpl w:val="2746149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031E0"/>
    <w:multiLevelType w:val="multilevel"/>
    <w:tmpl w:val="1458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63017A"/>
    <w:multiLevelType w:val="multilevel"/>
    <w:tmpl w:val="B5BE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9E6C4F"/>
    <w:multiLevelType w:val="hybridMultilevel"/>
    <w:tmpl w:val="D358506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56638"/>
    <w:multiLevelType w:val="hybridMultilevel"/>
    <w:tmpl w:val="64568F8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D0152"/>
    <w:multiLevelType w:val="hybridMultilevel"/>
    <w:tmpl w:val="ACC8FDD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2"/>
  </w:num>
  <w:num w:numId="8">
    <w:abstractNumId w:val="6"/>
  </w:num>
  <w:num w:numId="9">
    <w:abstractNumId w:val="27"/>
  </w:num>
  <w:num w:numId="10">
    <w:abstractNumId w:val="11"/>
  </w:num>
  <w:num w:numId="11">
    <w:abstractNumId w:val="15"/>
  </w:num>
  <w:num w:numId="12">
    <w:abstractNumId w:val="9"/>
  </w:num>
  <w:num w:numId="13">
    <w:abstractNumId w:val="17"/>
  </w:num>
  <w:num w:numId="14">
    <w:abstractNumId w:val="22"/>
  </w:num>
  <w:num w:numId="15">
    <w:abstractNumId w:val="26"/>
  </w:num>
  <w:num w:numId="16">
    <w:abstractNumId w:val="7"/>
  </w:num>
  <w:num w:numId="17">
    <w:abstractNumId w:val="18"/>
  </w:num>
  <w:num w:numId="18">
    <w:abstractNumId w:val="10"/>
  </w:num>
  <w:num w:numId="19">
    <w:abstractNumId w:val="13"/>
  </w:num>
  <w:num w:numId="20">
    <w:abstractNumId w:val="24"/>
  </w:num>
  <w:num w:numId="21">
    <w:abstractNumId w:val="14"/>
  </w:num>
  <w:num w:numId="22">
    <w:abstractNumId w:val="21"/>
  </w:num>
  <w:num w:numId="23">
    <w:abstractNumId w:val="20"/>
  </w:num>
  <w:num w:numId="24">
    <w:abstractNumId w:val="19"/>
  </w:num>
  <w:num w:numId="25">
    <w:abstractNumId w:val="25"/>
  </w:num>
  <w:num w:numId="26">
    <w:abstractNumId w:val="16"/>
  </w:num>
  <w:num w:numId="27">
    <w:abstractNumId w:val="8"/>
  </w:num>
  <w:num w:numId="28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B69"/>
    <w:rsid w:val="000233B4"/>
    <w:rsid w:val="000267E2"/>
    <w:rsid w:val="00034616"/>
    <w:rsid w:val="00043003"/>
    <w:rsid w:val="000514D1"/>
    <w:rsid w:val="0006063C"/>
    <w:rsid w:val="00085302"/>
    <w:rsid w:val="00086CB8"/>
    <w:rsid w:val="00093D7E"/>
    <w:rsid w:val="000A33A1"/>
    <w:rsid w:val="000B6822"/>
    <w:rsid w:val="0011440B"/>
    <w:rsid w:val="0013089E"/>
    <w:rsid w:val="001362A8"/>
    <w:rsid w:val="0015074B"/>
    <w:rsid w:val="001517C0"/>
    <w:rsid w:val="00153E06"/>
    <w:rsid w:val="001B2E81"/>
    <w:rsid w:val="001D5645"/>
    <w:rsid w:val="00204E6A"/>
    <w:rsid w:val="00223348"/>
    <w:rsid w:val="00237ECA"/>
    <w:rsid w:val="00240C46"/>
    <w:rsid w:val="002443BC"/>
    <w:rsid w:val="0024718B"/>
    <w:rsid w:val="00254147"/>
    <w:rsid w:val="00262F96"/>
    <w:rsid w:val="0026411D"/>
    <w:rsid w:val="0028491B"/>
    <w:rsid w:val="002870DA"/>
    <w:rsid w:val="00287629"/>
    <w:rsid w:val="0029639D"/>
    <w:rsid w:val="002B1241"/>
    <w:rsid w:val="002B12D4"/>
    <w:rsid w:val="002C0F9A"/>
    <w:rsid w:val="002D202C"/>
    <w:rsid w:val="00326F90"/>
    <w:rsid w:val="00333770"/>
    <w:rsid w:val="0036072C"/>
    <w:rsid w:val="00371321"/>
    <w:rsid w:val="003B4FFA"/>
    <w:rsid w:val="003C4BEE"/>
    <w:rsid w:val="003E2011"/>
    <w:rsid w:val="00405242"/>
    <w:rsid w:val="00437D1C"/>
    <w:rsid w:val="00443971"/>
    <w:rsid w:val="004574FC"/>
    <w:rsid w:val="004756DD"/>
    <w:rsid w:val="00480261"/>
    <w:rsid w:val="004B2519"/>
    <w:rsid w:val="004C0CF0"/>
    <w:rsid w:val="004D5ED6"/>
    <w:rsid w:val="005045F9"/>
    <w:rsid w:val="00507F1D"/>
    <w:rsid w:val="00511A0E"/>
    <w:rsid w:val="00520AE8"/>
    <w:rsid w:val="00532576"/>
    <w:rsid w:val="00547784"/>
    <w:rsid w:val="00555CFB"/>
    <w:rsid w:val="0057086C"/>
    <w:rsid w:val="005712AE"/>
    <w:rsid w:val="005824E4"/>
    <w:rsid w:val="00596C12"/>
    <w:rsid w:val="005D3A2C"/>
    <w:rsid w:val="006126E7"/>
    <w:rsid w:val="006310D5"/>
    <w:rsid w:val="006362AB"/>
    <w:rsid w:val="00685463"/>
    <w:rsid w:val="006C3286"/>
    <w:rsid w:val="006E1BE7"/>
    <w:rsid w:val="006E2FB5"/>
    <w:rsid w:val="007007CF"/>
    <w:rsid w:val="00721E72"/>
    <w:rsid w:val="00755FB9"/>
    <w:rsid w:val="007C3571"/>
    <w:rsid w:val="007E22BF"/>
    <w:rsid w:val="00803DB5"/>
    <w:rsid w:val="0080431B"/>
    <w:rsid w:val="00804D38"/>
    <w:rsid w:val="00806063"/>
    <w:rsid w:val="008252F0"/>
    <w:rsid w:val="00830B04"/>
    <w:rsid w:val="008377AA"/>
    <w:rsid w:val="00894F05"/>
    <w:rsid w:val="00895337"/>
    <w:rsid w:val="008A3339"/>
    <w:rsid w:val="008B11AC"/>
    <w:rsid w:val="008B2339"/>
    <w:rsid w:val="008B340D"/>
    <w:rsid w:val="008D521A"/>
    <w:rsid w:val="008E7CD7"/>
    <w:rsid w:val="00900AE8"/>
    <w:rsid w:val="009130A3"/>
    <w:rsid w:val="009673DD"/>
    <w:rsid w:val="00985A79"/>
    <w:rsid w:val="009C0503"/>
    <w:rsid w:val="00A16A02"/>
    <w:rsid w:val="00A439CB"/>
    <w:rsid w:val="00A47B96"/>
    <w:rsid w:val="00A609F3"/>
    <w:rsid w:val="00A64359"/>
    <w:rsid w:val="00A86CAA"/>
    <w:rsid w:val="00AA1D8D"/>
    <w:rsid w:val="00B25B67"/>
    <w:rsid w:val="00B47730"/>
    <w:rsid w:val="00B63966"/>
    <w:rsid w:val="00B75F9C"/>
    <w:rsid w:val="00B869DE"/>
    <w:rsid w:val="00BA1850"/>
    <w:rsid w:val="00BB19A2"/>
    <w:rsid w:val="00BC1C9B"/>
    <w:rsid w:val="00BC4C70"/>
    <w:rsid w:val="00BD3928"/>
    <w:rsid w:val="00BE0935"/>
    <w:rsid w:val="00BE33B5"/>
    <w:rsid w:val="00BE583B"/>
    <w:rsid w:val="00C34E88"/>
    <w:rsid w:val="00C44C9C"/>
    <w:rsid w:val="00C47005"/>
    <w:rsid w:val="00C5525B"/>
    <w:rsid w:val="00C62750"/>
    <w:rsid w:val="00C6707F"/>
    <w:rsid w:val="00C7745F"/>
    <w:rsid w:val="00C82838"/>
    <w:rsid w:val="00C85D7B"/>
    <w:rsid w:val="00C9450E"/>
    <w:rsid w:val="00CB0664"/>
    <w:rsid w:val="00CB4C3C"/>
    <w:rsid w:val="00CC440D"/>
    <w:rsid w:val="00CD3F28"/>
    <w:rsid w:val="00CE18F8"/>
    <w:rsid w:val="00CF75B6"/>
    <w:rsid w:val="00CF7706"/>
    <w:rsid w:val="00CF7D5D"/>
    <w:rsid w:val="00D14D91"/>
    <w:rsid w:val="00D23782"/>
    <w:rsid w:val="00D33939"/>
    <w:rsid w:val="00D42385"/>
    <w:rsid w:val="00D463D8"/>
    <w:rsid w:val="00D478E5"/>
    <w:rsid w:val="00D512EB"/>
    <w:rsid w:val="00D64D17"/>
    <w:rsid w:val="00D66E1D"/>
    <w:rsid w:val="00D762E1"/>
    <w:rsid w:val="00D804C3"/>
    <w:rsid w:val="00D815B7"/>
    <w:rsid w:val="00DA7B53"/>
    <w:rsid w:val="00DB1883"/>
    <w:rsid w:val="00DD5705"/>
    <w:rsid w:val="00DE4687"/>
    <w:rsid w:val="00E21ED2"/>
    <w:rsid w:val="00E471D4"/>
    <w:rsid w:val="00E679A2"/>
    <w:rsid w:val="00E719DB"/>
    <w:rsid w:val="00E91A44"/>
    <w:rsid w:val="00E94FE8"/>
    <w:rsid w:val="00E9510C"/>
    <w:rsid w:val="00EA51C8"/>
    <w:rsid w:val="00EC22D6"/>
    <w:rsid w:val="00EC7972"/>
    <w:rsid w:val="00EC7EBB"/>
    <w:rsid w:val="00F161AF"/>
    <w:rsid w:val="00F2177D"/>
    <w:rsid w:val="00F22482"/>
    <w:rsid w:val="00F65F7D"/>
    <w:rsid w:val="00FB58A5"/>
    <w:rsid w:val="00FC693F"/>
    <w:rsid w:val="00FD5DF7"/>
    <w:rsid w:val="00FE46D1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7AB49D"/>
  <w14:defaultImageDpi w14:val="300"/>
  <w15:docId w15:val="{CFE45CF6-BEB3-42E7-B6F5-1DA0D7A2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2E1"/>
    <w:p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C9C"/>
    <w:pPr>
      <w:keepNext/>
      <w:keepLines/>
      <w:spacing w:before="480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762E1"/>
    <w:pPr>
      <w:keepNext/>
      <w:keepLines/>
      <w:spacing w:before="200"/>
      <w:ind w:left="567"/>
      <w:jc w:val="center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7B53"/>
    <w:pPr>
      <w:keepNext/>
      <w:keepLines/>
      <w:spacing w:before="200"/>
      <w:outlineLvl w:val="3"/>
    </w:pPr>
    <w:rPr>
      <w:rFonts w:eastAsiaTheme="majorEastAsia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44C9C"/>
    <w:rPr>
      <w:rFonts w:ascii="Times New Roman" w:eastAsiaTheme="majorEastAsia" w:hAnsi="Times New Roman" w:cs="Times New Roman"/>
      <w:b/>
      <w:bCs/>
      <w:color w:val="000000" w:themeColor="text1"/>
      <w:sz w:val="28"/>
      <w:szCs w:val="28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D762E1"/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DA7B53"/>
    <w:rPr>
      <w:rFonts w:ascii="Times New Roman" w:eastAsiaTheme="majorEastAsia" w:hAnsi="Times New Roman" w:cs="Times New Roman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relative">
    <w:name w:val="relative"/>
    <w:basedOn w:val="DefaultParagraphFont"/>
    <w:rsid w:val="000514D1"/>
  </w:style>
  <w:style w:type="paragraph" w:styleId="TOC1">
    <w:name w:val="toc 1"/>
    <w:basedOn w:val="Normal"/>
    <w:next w:val="Normal"/>
    <w:autoRedefine/>
    <w:uiPriority w:val="39"/>
    <w:unhideWhenUsed/>
    <w:rsid w:val="000514D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443BC"/>
    <w:pPr>
      <w:tabs>
        <w:tab w:val="right" w:leader="dot" w:pos="8630"/>
      </w:tabs>
      <w:spacing w:after="100"/>
      <w:ind w:left="220"/>
      <w:jc w:val="left"/>
    </w:pPr>
  </w:style>
  <w:style w:type="character" w:styleId="Hyperlink">
    <w:name w:val="Hyperlink"/>
    <w:basedOn w:val="DefaultParagraphFont"/>
    <w:uiPriority w:val="99"/>
    <w:unhideWhenUsed/>
    <w:rsid w:val="000514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4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19DB"/>
    <w:pPr>
      <w:spacing w:before="100" w:beforeAutospacing="1" w:after="100" w:afterAutospacing="1" w:line="240" w:lineRule="auto"/>
      <w:jc w:val="left"/>
    </w:pPr>
    <w:rPr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7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74FC"/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styleId="HTMLCode">
    <w:name w:val="HTML Code"/>
    <w:basedOn w:val="DefaultParagraphFont"/>
    <w:uiPriority w:val="99"/>
    <w:semiHidden/>
    <w:unhideWhenUsed/>
    <w:rsid w:val="004574F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4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0B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B75F9C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A43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9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9CB"/>
    <w:rPr>
      <w:rFonts w:ascii="Times New Roman" w:hAnsi="Times New Roman"/>
      <w:b/>
      <w:bCs/>
      <w:sz w:val="20"/>
      <w:szCs w:val="20"/>
    </w:rPr>
  </w:style>
  <w:style w:type="character" w:customStyle="1" w:styleId="text-token-text-secondary">
    <w:name w:val="text-token-text-secondary"/>
    <w:basedOn w:val="DefaultParagraphFont"/>
    <w:rsid w:val="00B63966"/>
  </w:style>
  <w:style w:type="character" w:styleId="FollowedHyperlink">
    <w:name w:val="FollowedHyperlink"/>
    <w:basedOn w:val="DefaultParagraphFont"/>
    <w:uiPriority w:val="99"/>
    <w:semiHidden/>
    <w:unhideWhenUsed/>
    <w:rsid w:val="004802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38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31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59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114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8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7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7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1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0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4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1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4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3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595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5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68ADC5-F8D3-45E3-90A1-77C34793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3904</Words>
  <Characters>22259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Abhinandan Chowdhury</cp:lastModifiedBy>
  <cp:revision>3</cp:revision>
  <cp:lastPrinted>2025-07-14T02:18:00Z</cp:lastPrinted>
  <dcterms:created xsi:type="dcterms:W3CDTF">2025-08-04T03:38:00Z</dcterms:created>
  <dcterms:modified xsi:type="dcterms:W3CDTF">2025-08-04T04:11:00Z</dcterms:modified>
  <cp:category/>
</cp:coreProperties>
</file>